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37C9" w:rsidRDefault="00000000">
      <w:pPr>
        <w:spacing w:after="60"/>
      </w:pPr>
      <w:r>
        <w:rPr>
          <w:b/>
          <w:bCs/>
          <w:color w:val="1B2A33"/>
          <w:sz w:val="40"/>
          <w:szCs w:val="40"/>
        </w:rPr>
        <w:t>Setting Up Customer-Managed Keys in Microsoft Fabric</w:t>
      </w:r>
    </w:p>
    <w:p w:rsidR="009E37C9" w:rsidRDefault="00000000">
      <w:pPr>
        <w:spacing w:after="300"/>
      </w:pPr>
      <w:r>
        <w:rPr>
          <w:b/>
          <w:bCs/>
          <w:color w:val="0E7C7B"/>
          <w:sz w:val="22"/>
          <w:szCs w:val="22"/>
        </w:rPr>
        <w:t>A step-by-step guide, written while actually doing it — Data Saturday Rheinland, 11 July 2026</w:t>
      </w:r>
    </w:p>
    <w:p w:rsidR="009E37C9" w:rsidRDefault="00000000">
      <w:pPr>
        <w:spacing w:after="140"/>
      </w:pPr>
      <w:r>
        <w:t>This is the practical companion to the talk: every step needed to get CMK working end-to-end in your own Fabric tenant, in the order you'd actually do them, including the parts that aren't obvious from the docs alone.</w:t>
      </w:r>
    </w:p>
    <w:p w:rsidR="009E37C9" w:rsidRDefault="00000000">
      <w:pPr>
        <w:pStyle w:val="Heading1"/>
        <w:spacing w:before="320" w:after="160"/>
      </w:pPr>
      <w:r>
        <w:t>Step 1 — Enable the Fabric tenant setting</w:t>
      </w:r>
    </w:p>
    <w:p w:rsidR="009E37C9" w:rsidRDefault="00000000">
      <w:pPr>
        <w:spacing w:after="140"/>
      </w:pPr>
      <w:r>
        <w:t>Before any individual workspace can use customer-managed keys, someone with tenant-wide admin rights has to switch the feature on for the organization. This is deliberate: encryption strategy is a governance decision, not something a single workspace owner should be able to opt into on their own.</w:t>
      </w:r>
    </w:p>
    <w:p w:rsidR="009E37C9" w:rsidRDefault="00000000">
      <w:pPr>
        <w:pStyle w:val="Heading2"/>
        <w:spacing w:before="240" w:after="120"/>
      </w:pPr>
      <w:r>
        <w:t>Who can do this</w:t>
      </w:r>
    </w:p>
    <w:p w:rsidR="009E37C9" w:rsidRDefault="00000000">
      <w:pPr>
        <w:spacing w:after="140"/>
      </w:pPr>
      <w:r>
        <w:t xml:space="preserve">You need to be a </w:t>
      </w:r>
      <w:r>
        <w:rPr>
          <w:b/>
          <w:bCs/>
        </w:rPr>
        <w:t>Fabric administrator</w:t>
      </w:r>
      <w:r>
        <w:t xml:space="preserve"> (or another admin role with tenant settings access). Being an admin of your own workspace is </w:t>
      </w:r>
      <w:r>
        <w:rPr>
          <w:b/>
          <w:bCs/>
        </w:rPr>
        <w:t>not</w:t>
      </w:r>
      <w:r>
        <w:t xml:space="preserve"> enough — this setting lives above the workspace level entirely.</w:t>
      </w:r>
    </w:p>
    <w:p w:rsidR="009E37C9" w:rsidRDefault="00000000">
      <w:pPr>
        <w:pStyle w:val="Heading2"/>
        <w:spacing w:before="240" w:after="120"/>
      </w:pPr>
      <w:r>
        <w:t>Where to find it</w:t>
      </w:r>
    </w:p>
    <w:p w:rsidR="009E37C9" w:rsidRDefault="00000000">
      <w:pPr>
        <w:pStyle w:val="ListParagraph"/>
        <w:numPr>
          <w:ilvl w:val="0"/>
          <w:numId w:val="2"/>
        </w:numPr>
        <w:spacing w:after="80"/>
      </w:pPr>
      <w:r>
        <w:t xml:space="preserve">Fabric portal → gear icon (top right) → </w:t>
      </w:r>
      <w:r>
        <w:rPr>
          <w:b/>
          <w:bCs/>
        </w:rPr>
        <w:t>Admin portal</w:t>
      </w:r>
    </w:p>
    <w:p w:rsidR="009E37C9" w:rsidRDefault="00000000">
      <w:pPr>
        <w:pStyle w:val="ListParagraph"/>
        <w:numPr>
          <w:ilvl w:val="0"/>
          <w:numId w:val="2"/>
        </w:numPr>
        <w:spacing w:after="80"/>
      </w:pPr>
      <w:r>
        <w:t xml:space="preserve">→ </w:t>
      </w:r>
      <w:r>
        <w:rPr>
          <w:b/>
          <w:bCs/>
        </w:rPr>
        <w:t>Tenant settings</w:t>
      </w:r>
    </w:p>
    <w:p w:rsidR="009E37C9" w:rsidRDefault="00000000">
      <w:pPr>
        <w:pStyle w:val="ListParagraph"/>
        <w:numPr>
          <w:ilvl w:val="0"/>
          <w:numId w:val="2"/>
        </w:numPr>
        <w:spacing w:after="80"/>
      </w:pPr>
      <w:r>
        <w:t xml:space="preserve">→ search for </w:t>
      </w:r>
      <w:r>
        <w:rPr>
          <w:b/>
          <w:bCs/>
        </w:rPr>
        <w:t>“Apply customer-managed keys”</w:t>
      </w:r>
      <w:r>
        <w:t xml:space="preserve"> (it sits with the other encryption-related settings)</w:t>
      </w:r>
    </w:p>
    <w:p w:rsidR="009E37C9" w:rsidRDefault="00000000">
      <w:pPr>
        <w:pStyle w:val="ListParagraph"/>
        <w:numPr>
          <w:ilvl w:val="0"/>
          <w:numId w:val="2"/>
        </w:numPr>
        <w:spacing w:after="80"/>
      </w:pPr>
      <w:r>
        <w:t xml:space="preserve">→ toggle it </w:t>
      </w:r>
      <w:r>
        <w:rPr>
          <w:b/>
          <w:bCs/>
        </w:rPr>
        <w:t>On</w:t>
      </w:r>
      <w:r>
        <w:t xml:space="preserve"> for the whole organization, or scope it to specific security groups if you don't want every workspace admin in your tenant to have the option</w:t>
      </w:r>
    </w:p>
    <w:p w:rsidR="009E37C9" w:rsidRDefault="00000000">
      <w:pPr>
        <w:pStyle w:val="Heading1"/>
        <w:spacing w:before="320" w:after="160"/>
      </w:pPr>
      <w:r>
        <w:t>Step 2 — Register the “Fabric Platform CMK” app in your tenant</w:t>
      </w:r>
    </w:p>
    <w:p w:rsidR="009E37C9" w:rsidRDefault="00000000">
      <w:pPr>
        <w:spacing w:after="140"/>
      </w:pPr>
      <w:r>
        <w:t xml:space="preserve">Fabric doesn't use your credentials to reach into your Key Vault on your behalf — it uses a dedicated, Microsoft-owned application called </w:t>
      </w:r>
      <w:r>
        <w:rPr>
          <w:b/>
          <w:bCs/>
        </w:rPr>
        <w:t>“Fabric Platform CMK”</w:t>
      </w:r>
      <w:r>
        <w:t xml:space="preserve"> that performs the actual wrap/unwrap operations. Before you can give that application any permissions in your subscription, it has to exist as an object inside </w:t>
      </w:r>
      <w:r>
        <w:rPr>
          <w:b/>
          <w:bCs/>
        </w:rPr>
        <w:t>your</w:t>
      </w:r>
      <w:r>
        <w:t xml:space="preserve"> tenant's directory. That's what this step does.</w:t>
      </w:r>
    </w:p>
    <w:p w:rsidR="009E37C9" w:rsidRDefault="00000000">
      <w:pPr>
        <w:pStyle w:val="Heading2"/>
        <w:spacing w:before="240" w:after="120"/>
      </w:pPr>
      <w:r>
        <w:t>What is an “enterprise application”, actually?</w:t>
      </w:r>
    </w:p>
    <w:p w:rsidR="009E37C9" w:rsidRDefault="00000000">
      <w:pPr>
        <w:spacing w:after="140"/>
      </w:pPr>
      <w:r>
        <w:t xml:space="preserve">In Microsoft Entra ID, there's a difference between an </w:t>
      </w:r>
      <w:r>
        <w:rPr>
          <w:b/>
          <w:bCs/>
        </w:rPr>
        <w:t>application object</w:t>
      </w:r>
      <w:r>
        <w:t xml:space="preserve"> and a </w:t>
      </w:r>
      <w:r>
        <w:rPr>
          <w:b/>
          <w:bCs/>
        </w:rPr>
        <w:t>service principal</w:t>
      </w:r>
      <w:r>
        <w:t xml:space="preserve"> (which is what shows up in the portal as an “enterprise application”):</w:t>
      </w:r>
    </w:p>
    <w:p w:rsidR="009E37C9" w:rsidRDefault="00000000">
      <w:pPr>
        <w:pStyle w:val="ListParagraph"/>
        <w:numPr>
          <w:ilvl w:val="0"/>
          <w:numId w:val="2"/>
        </w:numPr>
        <w:spacing w:after="80"/>
      </w:pPr>
      <w:r>
        <w:rPr>
          <w:b/>
          <w:bCs/>
        </w:rPr>
        <w:t xml:space="preserve">Application object: </w:t>
      </w:r>
      <w:r>
        <w:t xml:space="preserve">the single, global definition of an app — who published it, what permissions it can request, its redirect URLs. It lives in exactly one “home” tenant. Microsoft owns the application object for </w:t>
      </w:r>
      <w:r>
        <w:rPr>
          <w:b/>
          <w:bCs/>
        </w:rPr>
        <w:t>Fabric Platform CMK</w:t>
      </w:r>
      <w:r>
        <w:t>.</w:t>
      </w:r>
    </w:p>
    <w:p w:rsidR="009E37C9" w:rsidRDefault="00000000">
      <w:pPr>
        <w:pStyle w:val="ListParagraph"/>
        <w:numPr>
          <w:ilvl w:val="0"/>
          <w:numId w:val="2"/>
        </w:numPr>
        <w:spacing w:after="80"/>
      </w:pPr>
      <w:r>
        <w:rPr>
          <w:b/>
          <w:bCs/>
        </w:rPr>
        <w:t xml:space="preserve">Service principal (enterprise application): </w:t>
      </w:r>
      <w:r>
        <w:t xml:space="preserve">a local, tenant-specific identity that represents that application </w:t>
      </w:r>
      <w:r>
        <w:rPr>
          <w:b/>
          <w:bCs/>
        </w:rPr>
        <w:t>inside a particular tenant</w:t>
      </w:r>
      <w:r>
        <w:t xml:space="preserve"> — including yours. It's what actually gets assigned roles, permissions, and access to your resources.</w:t>
      </w:r>
    </w:p>
    <w:p w:rsidR="009E37C9" w:rsidRDefault="00000000">
      <w:pPr>
        <w:spacing w:after="140"/>
      </w:pPr>
      <w:r>
        <w:t xml:space="preserve">A multitenant app like </w:t>
      </w:r>
      <w:r>
        <w:rPr>
          <w:b/>
          <w:bCs/>
        </w:rPr>
        <w:t>Fabric Platform CMK</w:t>
      </w:r>
      <w:r>
        <w:t xml:space="preserve"> has one application object (Microsoft's), but a </w:t>
      </w:r>
      <w:r>
        <w:rPr>
          <w:b/>
          <w:bCs/>
        </w:rPr>
        <w:t>separate service principal in every tenant</w:t>
      </w:r>
      <w:r>
        <w:t xml:space="preserve"> that uses it — including yours, once you create it. Think of the application object as the “product”, and the service principal as “your installed copy of it, with its own permissions, scoped to your tenant only.” This is completely standard Entra ID behavior for any multi-tenant SaaS integration — it isn't something unusual about Fabric.</w:t>
      </w:r>
    </w:p>
    <w:p w:rsidR="009E37C9" w:rsidRDefault="00000000">
      <w:pPr>
        <w:pStyle w:val="Heading2"/>
        <w:spacing w:before="240" w:after="120"/>
      </w:pPr>
      <w:r>
        <w:t>The command</w:t>
      </w:r>
    </w:p>
    <w:p w:rsidR="009E37C9" w:rsidRDefault="00000000">
      <w:pPr>
        <w:spacing w:after="140"/>
      </w:pPr>
      <w:r>
        <w:lastRenderedPageBreak/>
        <w:t xml:space="preserve">Run this in Azure Cloud Shell (the &gt;_ icon in the Azure portal) or your local Azure CLI, signed in as a </w:t>
      </w:r>
      <w:r>
        <w:rPr>
          <w:b/>
          <w:bCs/>
        </w:rPr>
        <w:t>Cloud Application Administrator</w:t>
      </w:r>
      <w:r>
        <w:t xml:space="preserve"> or </w:t>
      </w:r>
      <w:r>
        <w:rPr>
          <w:b/>
          <w:bCs/>
        </w:rPr>
        <w:t>Application Administrator</w:t>
      </w:r>
      <w:r>
        <w:t>:</w:t>
      </w:r>
    </w:p>
    <w:p w:rsidR="009E37C9" w:rsidRDefault="00000000">
      <w:pPr>
        <w:shd w:val="clear" w:color="auto" w:fill="F0F0F0"/>
        <w:spacing w:before="80" w:after="160"/>
        <w:ind w:left="360"/>
      </w:pPr>
      <w:r>
        <w:rPr>
          <w:rFonts w:ascii="Consolas" w:eastAsia="Consolas" w:hAnsi="Consolas" w:cs="Consolas"/>
          <w:color w:val="1B2A33"/>
        </w:rPr>
        <w:t>az ad sp create --id 61d6811f-7544-4e75-a1e6-1c59c0383311</w:t>
      </w:r>
    </w:p>
    <w:p w:rsidR="009E37C9" w:rsidRDefault="00000000">
      <w:pPr>
        <w:spacing w:after="140"/>
      </w:pPr>
      <w:r>
        <w:t xml:space="preserve">That fixed GUID is Microsoft's published App ID for </w:t>
      </w:r>
      <w:r>
        <w:rPr>
          <w:b/>
          <w:bCs/>
        </w:rPr>
        <w:t>Fabric Platform CMK</w:t>
      </w:r>
      <w:r>
        <w:t xml:space="preserve"> — the same for every tenant, because it identifies the application, not your organization.</w:t>
      </w:r>
    </w:p>
    <w:p w:rsidR="009E37C9" w:rsidRDefault="00000000">
      <w:pPr>
        <w:pStyle w:val="Heading2"/>
        <w:spacing w:before="240" w:after="120"/>
      </w:pPr>
      <w:r>
        <w:t>Finding it afterward — this trips almost everyone up</w:t>
      </w:r>
    </w:p>
    <w:p w:rsidR="009E37C9" w:rsidRDefault="00000000">
      <w:pPr>
        <w:spacing w:after="140"/>
      </w:pPr>
      <w:r>
        <w:t xml:space="preserve">Don't look in </w:t>
      </w:r>
      <w:r>
        <w:rPr>
          <w:b/>
          <w:bCs/>
        </w:rPr>
        <w:t>App registrations</w:t>
      </w:r>
      <w:r>
        <w:t xml:space="preserve">. That list only shows applications whose </w:t>
      </w:r>
      <w:r>
        <w:rPr>
          <w:b/>
          <w:bCs/>
        </w:rPr>
        <w:t>application object</w:t>
      </w:r>
      <w:r>
        <w:t xml:space="preserve"> lives in your own tenant — things you built yourself. </w:t>
      </w:r>
      <w:r>
        <w:rPr>
          <w:b/>
          <w:bCs/>
        </w:rPr>
        <w:t>Fabric Platform CMK</w:t>
      </w:r>
      <w:r>
        <w:t xml:space="preserve">'s application object belongs to Microsoft, so it will </w:t>
      </w:r>
      <w:r>
        <w:rPr>
          <w:b/>
          <w:bCs/>
        </w:rPr>
        <w:t>never</w:t>
      </w:r>
      <w:r>
        <w:t xml:space="preserve"> appear there, no matter what you do.</w:t>
      </w:r>
    </w:p>
    <w:p w:rsidR="009E37C9" w:rsidRDefault="00000000">
      <w:pPr>
        <w:spacing w:after="140"/>
      </w:pPr>
      <w:r>
        <w:t xml:space="preserve">Instead: Entra ID → </w:t>
      </w:r>
      <w:r>
        <w:rPr>
          <w:b/>
          <w:bCs/>
        </w:rPr>
        <w:t>Enterprise applications</w:t>
      </w:r>
      <w:r>
        <w:t xml:space="preserve"> → </w:t>
      </w:r>
      <w:r>
        <w:rPr>
          <w:b/>
          <w:bCs/>
        </w:rPr>
        <w:t>All applications</w:t>
      </w:r>
      <w:r>
        <w:t xml:space="preserve"> → change the </w:t>
      </w:r>
      <w:r>
        <w:rPr>
          <w:b/>
          <w:bCs/>
        </w:rPr>
        <w:t>Application type</w:t>
      </w:r>
      <w:r>
        <w:t xml:space="preserve"> filter from “Enterprise Applications” to </w:t>
      </w:r>
      <w:r>
        <w:rPr>
          <w:b/>
          <w:bCs/>
        </w:rPr>
        <w:t>All applications</w:t>
      </w:r>
      <w:r>
        <w:t xml:space="preserve"> (or </w:t>
      </w:r>
      <w:r>
        <w:rPr>
          <w:b/>
          <w:bCs/>
        </w:rPr>
        <w:t>Microsoft Applications</w:t>
      </w:r>
      <w:r>
        <w:t xml:space="preserve">) → Apply. The default filter is based on a specific tag that CLI-created service principals for Microsoft apps often don't carry, so they're hidden until you widen the filter. Then search </w:t>
      </w:r>
      <w:r>
        <w:rPr>
          <w:b/>
          <w:bCs/>
        </w:rPr>
        <w:t>“Fabric Platform CMK”</w:t>
      </w:r>
      <w:r>
        <w:t xml:space="preserve"> or paste the App ID directly into the search box.</w:t>
      </w:r>
    </w:p>
    <w:p w:rsidR="009E37C9" w:rsidRDefault="00000000">
      <w:pPr>
        <w:pStyle w:val="Heading1"/>
        <w:spacing w:before="320" w:after="160"/>
      </w:pPr>
      <w:r>
        <w:t>Step 3 — Create the Key Vault</w:t>
      </w:r>
    </w:p>
    <w:p w:rsidR="009E37C9" w:rsidRDefault="00000000">
      <w:pPr>
        <w:spacing w:after="140"/>
      </w:pPr>
      <w:r>
        <w:t>Settings that matter, straight from Microsoft's own Key Vault documentation:</w:t>
      </w:r>
    </w:p>
    <w:p w:rsidR="009E37C9" w:rsidRDefault="00000000">
      <w:pPr>
        <w:pStyle w:val="ListParagraph"/>
        <w:numPr>
          <w:ilvl w:val="0"/>
          <w:numId w:val="2"/>
        </w:numPr>
        <w:spacing w:after="80"/>
      </w:pPr>
      <w:r>
        <w:rPr>
          <w:b/>
          <w:bCs/>
        </w:rPr>
        <w:t xml:space="preserve">Region: </w:t>
      </w:r>
      <w:r>
        <w:t>same region as your Fabric capacity, to keep things simple.</w:t>
      </w:r>
    </w:p>
    <w:p w:rsidR="009E37C9" w:rsidRDefault="00000000">
      <w:pPr>
        <w:pStyle w:val="ListParagraph"/>
        <w:numPr>
          <w:ilvl w:val="0"/>
          <w:numId w:val="2"/>
        </w:numPr>
        <w:spacing w:after="80"/>
      </w:pPr>
      <w:r>
        <w:rPr>
          <w:b/>
          <w:bCs/>
        </w:rPr>
        <w:t xml:space="preserve">Pricing tier: </w:t>
      </w:r>
      <w:r>
        <w:t>Standard is enough — you don't need Premium/HSM-backed keys just to demonstrate CMK.</w:t>
      </w:r>
    </w:p>
    <w:p w:rsidR="009E37C9" w:rsidRDefault="00000000">
      <w:pPr>
        <w:pStyle w:val="ListParagraph"/>
        <w:numPr>
          <w:ilvl w:val="0"/>
          <w:numId w:val="2"/>
        </w:numPr>
        <w:spacing w:after="80"/>
      </w:pPr>
      <w:r>
        <w:rPr>
          <w:b/>
          <w:bCs/>
        </w:rPr>
        <w:t xml:space="preserve">Soft-delete: </w:t>
      </w:r>
      <w:r>
        <w:t>on by default for every new vault since early 2026 — nothing to configure.</w:t>
      </w:r>
    </w:p>
    <w:p w:rsidR="009E37C9" w:rsidRDefault="00000000">
      <w:pPr>
        <w:pStyle w:val="ListParagraph"/>
        <w:numPr>
          <w:ilvl w:val="0"/>
          <w:numId w:val="2"/>
        </w:numPr>
        <w:spacing w:after="80"/>
      </w:pPr>
      <w:r>
        <w:rPr>
          <w:b/>
          <w:bCs/>
        </w:rPr>
        <w:t xml:space="preserve">Purge protection: </w:t>
      </w:r>
      <w:r>
        <w:t xml:space="preserve">not on by default — you must </w:t>
      </w:r>
      <w:r>
        <w:rPr>
          <w:b/>
          <w:bCs/>
        </w:rPr>
        <w:t>tick it yourself</w:t>
      </w:r>
      <w:r>
        <w:t xml:space="preserve"> on the Recovery options tab, because Fabric requires it. Once enabled, it can never be turned off again for this vault.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E37C9">
        <w:tblPrEx>
          <w:tblCellMar>
            <w:top w:w="0" w:type="dxa"/>
            <w:bottom w:w="0" w:type="dxa"/>
          </w:tblCellMar>
        </w:tblPrEx>
        <w:tc>
          <w:tcPr>
            <w:tcW w:w="0" w:type="auto"/>
            <w:shd w:val="clear" w:color="auto" w:fill="EAF2F1"/>
            <w:tcMar>
              <w:top w:w="160" w:type="dxa"/>
              <w:left w:w="200" w:type="dxa"/>
              <w:bottom w:w="160" w:type="dxa"/>
              <w:right w:w="200" w:type="dxa"/>
            </w:tcMar>
          </w:tcPr>
          <w:p w:rsidR="009E37C9" w:rsidRDefault="00000000">
            <w:pPr>
              <w:spacing w:after="80"/>
            </w:pPr>
            <w:r>
              <w:rPr>
                <w:b/>
                <w:bCs/>
                <w:color w:val="0E7C7B"/>
              </w:rPr>
              <w:t>The step Microsoft's docs don't mention: assign yourself a data-plane role too</w:t>
            </w:r>
          </w:p>
          <w:p w:rsidR="009E37C9" w:rsidRDefault="00000000">
            <w:pPr>
              <w:spacing w:after="140"/>
            </w:pPr>
            <w:r>
              <w:t xml:space="preserve">Being the person who </w:t>
            </w:r>
            <w:r>
              <w:rPr>
                <w:b/>
                <w:bCs/>
              </w:rPr>
              <w:t>created</w:t>
            </w:r>
            <w:r>
              <w:t xml:space="preserve"> the vault (or having Owner/Contributor on the subscription) only gives you </w:t>
            </w:r>
            <w:r>
              <w:rPr>
                <w:b/>
                <w:bCs/>
              </w:rPr>
              <w:t>control-plane</w:t>
            </w:r>
            <w:r>
              <w:t xml:space="preserve"> rights — managing the vault resource itself. Under Azure RBAC authorization, that does </w:t>
            </w:r>
            <w:r>
              <w:rPr>
                <w:b/>
                <w:bCs/>
              </w:rPr>
              <w:t>not</w:t>
            </w:r>
            <w:r>
              <w:t xml:space="preserve"> automatically let you create or view keys </w:t>
            </w:r>
            <w:r>
              <w:rPr>
                <w:b/>
                <w:bCs/>
              </w:rPr>
              <w:t>inside</w:t>
            </w:r>
            <w:r>
              <w:t xml:space="preserve"> it — that's a separate, </w:t>
            </w:r>
            <w:r>
              <w:rPr>
                <w:b/>
                <w:bCs/>
              </w:rPr>
              <w:t>data-plane</w:t>
            </w:r>
            <w:r>
              <w:t xml:space="preserve"> permission.</w:t>
            </w:r>
          </w:p>
          <w:p w:rsidR="009E37C9" w:rsidRDefault="00000000">
            <w:pPr>
              <w:spacing w:after="140"/>
            </w:pPr>
            <w:r>
              <w:t xml:space="preserve">So before you can create a key in the next step, go to the Key Vault → </w:t>
            </w:r>
            <w:r>
              <w:rPr>
                <w:b/>
                <w:bCs/>
              </w:rPr>
              <w:t>Access control (IAM)</w:t>
            </w:r>
            <w:r>
              <w:t xml:space="preserve"> → Add role assignment → grant </w:t>
            </w:r>
            <w:r>
              <w:rPr>
                <w:b/>
                <w:bCs/>
              </w:rPr>
              <w:t>yourself</w:t>
            </w:r>
            <w:r>
              <w:t xml:space="preserve"> the </w:t>
            </w:r>
            <w:r>
              <w:rPr>
                <w:b/>
                <w:bCs/>
              </w:rPr>
              <w:t>“Key Vault Crypto Officer”</w:t>
            </w:r>
            <w:r>
              <w:t xml:space="preserve"> role (lets you manage keys specifically) — or </w:t>
            </w:r>
            <w:r>
              <w:rPr>
                <w:b/>
                <w:bCs/>
              </w:rPr>
              <w:t>“Key Vault Administrator”</w:t>
            </w:r>
            <w:r>
              <w:t xml:space="preserve"> if you'd rather have full data-plane access with one broader role. Either works; Crypto Officer is the more precise, least-privilege choice.</w:t>
            </w:r>
          </w:p>
        </w:tc>
      </w:tr>
    </w:tbl>
    <w:p w:rsidR="009E37C9" w:rsidRDefault="00000000">
      <w:pPr>
        <w:pStyle w:val="Heading1"/>
        <w:spacing w:before="320" w:after="160"/>
      </w:pPr>
      <w:r>
        <w:t>Step 4 — Create the key</w:t>
      </w:r>
    </w:p>
    <w:p w:rsidR="009E37C9" w:rsidRDefault="00000000">
      <w:pPr>
        <w:spacing w:after="140"/>
      </w:pPr>
      <w:r>
        <w:t xml:space="preserve">Inside the vault: </w:t>
      </w:r>
      <w:r>
        <w:rPr>
          <w:b/>
          <w:bCs/>
        </w:rPr>
        <w:t>Objects → Keys → + Generate/Import</w:t>
      </w:r>
      <w:r>
        <w:t>.</w:t>
      </w:r>
    </w:p>
    <w:p w:rsidR="009E37C9" w:rsidRDefault="00000000">
      <w:pPr>
        <w:pStyle w:val="ListParagraph"/>
        <w:numPr>
          <w:ilvl w:val="0"/>
          <w:numId w:val="2"/>
        </w:numPr>
        <w:spacing w:after="80"/>
      </w:pPr>
      <w:r>
        <w:rPr>
          <w:b/>
          <w:bCs/>
        </w:rPr>
        <w:t xml:space="preserve">Options: </w:t>
      </w:r>
      <w:r>
        <w:t>Generate</w:t>
      </w:r>
    </w:p>
    <w:p w:rsidR="009E37C9" w:rsidRDefault="00000000">
      <w:pPr>
        <w:pStyle w:val="ListParagraph"/>
        <w:numPr>
          <w:ilvl w:val="0"/>
          <w:numId w:val="2"/>
        </w:numPr>
        <w:spacing w:after="80"/>
      </w:pPr>
      <w:r>
        <w:rPr>
          <w:b/>
          <w:bCs/>
        </w:rPr>
        <w:t xml:space="preserve">Key type: </w:t>
      </w:r>
      <w:r>
        <w:t>RSA</w:t>
      </w:r>
    </w:p>
    <w:p w:rsidR="009E37C9" w:rsidRDefault="00000000">
      <w:pPr>
        <w:pStyle w:val="ListParagraph"/>
        <w:numPr>
          <w:ilvl w:val="0"/>
          <w:numId w:val="2"/>
        </w:numPr>
        <w:spacing w:after="80"/>
      </w:pPr>
      <w:r>
        <w:rPr>
          <w:b/>
          <w:bCs/>
        </w:rPr>
        <w:t xml:space="preserve">RSA key size: </w:t>
      </w:r>
      <w:r>
        <w:t xml:space="preserve">2048 or 3072-bit — </w:t>
      </w:r>
      <w:r>
        <w:rPr>
          <w:b/>
          <w:bCs/>
        </w:rPr>
        <w:t>not</w:t>
      </w:r>
      <w:r>
        <w:t xml:space="preserve"> 4096-bit if you'll ever touch Fabric SQL Database, which doesn't support that size.</w:t>
      </w:r>
    </w:p>
    <w:p w:rsidR="009E37C9" w:rsidRDefault="00000000">
      <w:pPr>
        <w:pStyle w:val="ListParagraph"/>
        <w:numPr>
          <w:ilvl w:val="0"/>
          <w:numId w:val="2"/>
        </w:numPr>
        <w:spacing w:after="80"/>
      </w:pPr>
      <w:r>
        <w:t>Leave activation/expiration dates empty for a demo key; leave everything else on its default.</w:t>
      </w:r>
    </w:p>
    <w:p w:rsidR="009E37C9" w:rsidRDefault="00000000">
      <w:pPr>
        <w:pStyle w:val="Heading1"/>
        <w:spacing w:before="320" w:after="160"/>
      </w:pPr>
      <w:r>
        <w:t>Step 5 — Apply the key in Fabric</w:t>
      </w:r>
    </w:p>
    <w:p w:rsidR="009E37C9" w:rsidRDefault="00000000">
      <w:pPr>
        <w:spacing w:after="140"/>
      </w:pPr>
      <w:r>
        <w:lastRenderedPageBreak/>
        <w:t xml:space="preserve">Open your new key → copy its </w:t>
      </w:r>
      <w:r>
        <w:rPr>
          <w:b/>
          <w:bCs/>
        </w:rPr>
        <w:t>Key identifier</w:t>
      </w:r>
      <w:r>
        <w:t xml:space="preserve">, then </w:t>
      </w:r>
      <w:r>
        <w:rPr>
          <w:b/>
          <w:bCs/>
        </w:rPr>
        <w:t>remove the version segment from the end</w:t>
      </w:r>
      <w:r>
        <w:t xml:space="preserve"> — Fabric only accepts </w:t>
      </w:r>
      <w:r>
        <w:rPr>
          <w:b/>
          <w:bCs/>
        </w:rPr>
        <w:t>versionless</w:t>
      </w:r>
      <w:r>
        <w:t xml:space="preserve"> key identifiers. It should look like:</w:t>
      </w:r>
    </w:p>
    <w:p w:rsidR="009E37C9" w:rsidRDefault="00000000">
      <w:pPr>
        <w:shd w:val="clear" w:color="auto" w:fill="F0F0F0"/>
        <w:spacing w:before="80" w:after="160"/>
        <w:ind w:left="360"/>
      </w:pPr>
      <w:r>
        <w:rPr>
          <w:rFonts w:ascii="Consolas" w:eastAsia="Consolas" w:hAnsi="Consolas" w:cs="Consolas"/>
          <w:color w:val="1B2A33"/>
        </w:rPr>
        <w:t>https://&lt;your-vault-name&gt;.vault.azure.net/keys/&lt;key-name&gt;</w:t>
      </w:r>
    </w:p>
    <w:p w:rsidR="009E37C9" w:rsidRDefault="00000000">
      <w:pPr>
        <w:spacing w:after="140"/>
      </w:pPr>
      <w:r>
        <w:t xml:space="preserve">Then: Fabric → your workspace → </w:t>
      </w:r>
      <w:r>
        <w:rPr>
          <w:b/>
          <w:bCs/>
        </w:rPr>
        <w:t>Workspace settings → Encryption</w:t>
      </w:r>
      <w:r>
        <w:t xml:space="preserve"> → toggle </w:t>
      </w:r>
      <w:r>
        <w:rPr>
          <w:b/>
          <w:bCs/>
        </w:rPr>
        <w:t>Apply customer-managed keys</w:t>
      </w:r>
      <w:r>
        <w:t xml:space="preserve"> on → paste the key identifier into </w:t>
      </w:r>
      <w:r>
        <w:rPr>
          <w:b/>
          <w:bCs/>
        </w:rPr>
        <w:t>Key identifier</w:t>
      </w:r>
      <w:r>
        <w:t xml:space="preserve"> → </w:t>
      </w:r>
      <w:r>
        <w:rPr>
          <w:b/>
          <w:bCs/>
        </w:rPr>
        <w:t>Apply</w:t>
      </w:r>
      <w:r>
        <w:t xml:space="preserve">. Give it a moment, then confirm the status reaches </w:t>
      </w:r>
      <w:r>
        <w:rPr>
          <w:b/>
          <w:bCs/>
        </w:rPr>
        <w:t>Active</w:t>
      </w:r>
      <w:r>
        <w:t>.</w:t>
      </w:r>
    </w:p>
    <w:p w:rsidR="009E37C9" w:rsidRDefault="00000000">
      <w:pPr>
        <w:pStyle w:val="Heading1"/>
        <w:spacing w:before="320" w:after="160"/>
      </w:pPr>
      <w:r>
        <w:t>Step 6 — Stronger proof: audit logs in Log Analytics</w:t>
      </w:r>
    </w:p>
    <w:p w:rsidR="009E37C9" w:rsidRDefault="00000000">
      <w:pPr>
        <w:spacing w:after="140"/>
      </w:pPr>
      <w:r>
        <w:t xml:space="preserve">The Metrics chart above only shows that </w:t>
      </w:r>
      <w:r>
        <w:rPr>
          <w:b/>
          <w:bCs/>
        </w:rPr>
        <w:t>something</w:t>
      </w:r>
      <w:r>
        <w:t xml:space="preserve"> hit the vault. If you want to show </w:t>
      </w:r>
      <w:r>
        <w:rPr>
          <w:b/>
          <w:bCs/>
        </w:rPr>
        <w:t>who</w:t>
      </w:r>
      <w:r>
        <w:t xml:space="preserve"> (Fabric's own service principal), </w:t>
      </w:r>
      <w:r>
        <w:rPr>
          <w:b/>
          <w:bCs/>
        </w:rPr>
        <w:t>what</w:t>
      </w:r>
      <w:r>
        <w:t xml:space="preserve"> operation (KeyWrap / KeyUnwrap / KeyGet), and </w:t>
      </w:r>
      <w:r>
        <w:rPr>
          <w:b/>
          <w:bCs/>
        </w:rPr>
        <w:t>when</w:t>
      </w:r>
      <w:r>
        <w:t xml:space="preserve"> — down to the second, with a caller identity attached — send the vault's audit logs to Log Analytics and query them. This is a much more convincing thing to point at on stage than a line chart.</w:t>
      </w:r>
    </w:p>
    <w:p w:rsidR="009E37C9" w:rsidRDefault="00000000">
      <w:pPr>
        <w:pStyle w:val="Heading2"/>
        <w:spacing w:before="240" w:after="120"/>
      </w:pPr>
      <w:r>
        <w:t>One-time setup (do this before the talk, not live)</w:t>
      </w:r>
    </w:p>
    <w:p w:rsidR="009E37C9" w:rsidRDefault="00000000">
      <w:pPr>
        <w:pStyle w:val="ListParagraph"/>
        <w:numPr>
          <w:ilvl w:val="0"/>
          <w:numId w:val="2"/>
        </w:numPr>
        <w:spacing w:after="80"/>
      </w:pPr>
      <w:r>
        <w:rPr>
          <w:b/>
          <w:bCs/>
        </w:rPr>
        <w:t xml:space="preserve">Create a Log Analytics workspace: </w:t>
      </w:r>
      <w:r>
        <w:t xml:space="preserve">Azure Portal → search </w:t>
      </w:r>
      <w:r>
        <w:rPr>
          <w:b/>
          <w:bCs/>
        </w:rPr>
        <w:t>“Log Analytics workspaces”</w:t>
      </w:r>
      <w:r>
        <w:t xml:space="preserve"> → </w:t>
      </w:r>
      <w:r>
        <w:rPr>
          <w:b/>
          <w:bCs/>
        </w:rPr>
        <w:t>+ Create</w:t>
      </w:r>
      <w:r>
        <w:t xml:space="preserve"> → same subscription/region as your Key Vault → give it a name → </w:t>
      </w:r>
      <w:r>
        <w:rPr>
          <w:b/>
          <w:bCs/>
        </w:rPr>
        <w:t>Review + create</w:t>
      </w:r>
      <w:r>
        <w:t>.</w:t>
      </w:r>
    </w:p>
    <w:p w:rsidR="009E37C9" w:rsidRDefault="00000000">
      <w:pPr>
        <w:pStyle w:val="ListParagraph"/>
        <w:numPr>
          <w:ilvl w:val="0"/>
          <w:numId w:val="2"/>
        </w:numPr>
        <w:spacing w:after="80"/>
      </w:pPr>
      <w:r>
        <w:rPr>
          <w:b/>
          <w:bCs/>
        </w:rPr>
        <w:t xml:space="preserve">Enable diagnostics on the Key Vault: </w:t>
      </w:r>
      <w:r>
        <w:t xml:space="preserve">your Key Vault → </w:t>
      </w:r>
      <w:r>
        <w:rPr>
          <w:b/>
          <w:bCs/>
        </w:rPr>
        <w:t>Monitoring → Diagnostic settings</w:t>
      </w:r>
      <w:r>
        <w:t xml:space="preserve"> → </w:t>
      </w:r>
      <w:r>
        <w:rPr>
          <w:b/>
          <w:bCs/>
        </w:rPr>
        <w:t>+ Add diagnostic setting</w:t>
      </w:r>
      <w:r>
        <w:t xml:space="preserve"> → name it → tick the </w:t>
      </w:r>
      <w:r>
        <w:rPr>
          <w:b/>
          <w:bCs/>
        </w:rPr>
        <w:t>AuditEvent</w:t>
      </w:r>
      <w:r>
        <w:t xml:space="preserve"> category → destination </w:t>
      </w:r>
      <w:r>
        <w:rPr>
          <w:b/>
          <w:bCs/>
        </w:rPr>
        <w:t>Send to Log Analytics workspace</w:t>
      </w:r>
      <w:r>
        <w:t xml:space="preserve"> → pick the workspace you just made → </w:t>
      </w:r>
      <w:r>
        <w:rPr>
          <w:b/>
          <w:bCs/>
        </w:rPr>
        <w:t>Save</w:t>
      </w:r>
      <w:r>
        <w:t>.</w:t>
      </w:r>
    </w:p>
    <w:p w:rsidR="009E37C9" w:rsidRDefault="00000000">
      <w:pPr>
        <w:spacing w:after="140"/>
      </w:pPr>
      <w:r>
        <w:t xml:space="preserve">This only logs events from </w:t>
      </w:r>
      <w:r>
        <w:rPr>
          <w:b/>
          <w:bCs/>
        </w:rPr>
        <w:t>this point forward</w:t>
      </w:r>
      <w:r>
        <w:t xml:space="preserve"> — nothing before it. It also only appears in Log Analytics after the </w:t>
      </w:r>
      <w:r>
        <w:rPr>
          <w:b/>
          <w:bCs/>
        </w:rPr>
        <w:t>first</w:t>
      </w:r>
      <w:r>
        <w:t xml:space="preserve"> key operation happens post-setup, and first ingestion can take 5–15 minutes. Do this setup well ahead of the demo so it's already warmed up.</w:t>
      </w:r>
    </w:p>
    <w:p w:rsidR="009E37C9" w:rsidRDefault="00000000">
      <w:pPr>
        <w:pStyle w:val="Heading2"/>
        <w:spacing w:before="240" w:after="120"/>
      </w:pPr>
      <w:r>
        <w:t>Querying it</w:t>
      </w:r>
    </w:p>
    <w:p w:rsidR="009E37C9" w:rsidRDefault="00000000">
      <w:pPr>
        <w:spacing w:after="140"/>
      </w:pPr>
      <w:r>
        <w:t xml:space="preserve">Log Analytics workspace → </w:t>
      </w:r>
      <w:r>
        <w:rPr>
          <w:b/>
          <w:bCs/>
        </w:rPr>
        <w:t>Logs</w:t>
      </w:r>
      <w:r>
        <w:t xml:space="preserve"> → run:</w:t>
      </w:r>
    </w:p>
    <w:p w:rsidR="009E37C9" w:rsidRDefault="00000000">
      <w:pPr>
        <w:shd w:val="clear" w:color="auto" w:fill="F0F0F0"/>
        <w:spacing w:before="80" w:after="160"/>
        <w:ind w:left="360"/>
      </w:pPr>
      <w:r>
        <w:rPr>
          <w:rFonts w:ascii="Consolas" w:eastAsia="Consolas" w:hAnsi="Consolas" w:cs="Consolas"/>
          <w:color w:val="1B2A33"/>
        </w:rPr>
        <w:t>AKVAuditLogs</w:t>
      </w:r>
      <w:r>
        <w:rPr>
          <w:rFonts w:ascii="Consolas" w:eastAsia="Consolas" w:hAnsi="Consolas" w:cs="Consolas"/>
          <w:color w:val="1B2A33"/>
        </w:rPr>
        <w:br/>
        <w:t>| order by TimeGenerated desc</w:t>
      </w:r>
    </w:p>
    <w:p w:rsidR="009E37C9" w:rsidRDefault="00000000">
      <w:pPr>
        <w:spacing w:after="140"/>
      </w:pPr>
      <w:r>
        <w:t>If that table doesn't resolve, your diagnostic setting is using the older “Azure diagnostics” destination format instead of “Resource specific” — use this instead:</w:t>
      </w:r>
    </w:p>
    <w:p w:rsidR="009E37C9" w:rsidRDefault="00000000">
      <w:pPr>
        <w:shd w:val="clear" w:color="auto" w:fill="F0F0F0"/>
        <w:spacing w:before="80" w:after="160"/>
        <w:ind w:left="360"/>
      </w:pPr>
      <w:r>
        <w:rPr>
          <w:rFonts w:ascii="Consolas" w:eastAsia="Consolas" w:hAnsi="Consolas" w:cs="Consolas"/>
          <w:color w:val="1B2A33"/>
        </w:rPr>
        <w:t>AzureDiagnostics</w:t>
      </w:r>
      <w:r>
        <w:rPr>
          <w:rFonts w:ascii="Consolas" w:eastAsia="Consolas" w:hAnsi="Consolas" w:cs="Consolas"/>
          <w:color w:val="1B2A33"/>
        </w:rPr>
        <w:br/>
        <w:t>| where ResourceProvider == "MICROSOFT.KEYVAULT"</w:t>
      </w:r>
      <w:r>
        <w:rPr>
          <w:rFonts w:ascii="Consolas" w:eastAsia="Consolas" w:hAnsi="Consolas" w:cs="Consolas"/>
          <w:color w:val="1B2A33"/>
        </w:rPr>
        <w:br/>
        <w:t>| order by TimeGenerated desc</w:t>
      </w:r>
    </w:p>
    <w:p w:rsidR="009E37C9" w:rsidRDefault="00000000">
      <w:pPr>
        <w:spacing w:after="140"/>
      </w:pPr>
      <w:r>
        <w:t xml:space="preserve">Not sure which one applies? Click </w:t>
      </w:r>
      <w:r>
        <w:rPr>
          <w:b/>
          <w:bCs/>
        </w:rPr>
        <w:t>Tables</w:t>
      </w:r>
      <w:r>
        <w:t xml:space="preserve"> in the left-hand menu of the workspace and look for anything with “KeyVault” in the name — that's the exact table to query.</w:t>
      </w:r>
    </w:p>
    <w:p w:rsidR="009E37C9" w:rsidRDefault="00000000">
      <w:pPr>
        <w:pStyle w:val="Heading2"/>
        <w:spacing w:before="240" w:after="120"/>
      </w:pPr>
      <w:r>
        <w:t>Using it live</w:t>
      </w:r>
    </w:p>
    <w:p w:rsidR="009E37C9" w:rsidRDefault="00000000">
      <w:pPr>
        <w:spacing w:after="140"/>
      </w:pPr>
      <w:r>
        <w:t>Run your notebook → wait a couple of minutes → re-run the query. A new row appears at the top with a fresh timestamp, the operation name (</w:t>
      </w:r>
      <w:r>
        <w:rPr>
          <w:b/>
          <w:bCs/>
        </w:rPr>
        <w:t>KeyUnwrap</w:t>
      </w:r>
      <w:r>
        <w:t xml:space="preserve"> is the one that matters), and the caller identity — Fabric's </w:t>
      </w:r>
      <w:r>
        <w:rPr>
          <w:b/>
          <w:bCs/>
        </w:rPr>
        <w:t>“Fabric Platform CMK”</w:t>
      </w:r>
      <w:r>
        <w:t xml:space="preserve"> service principal, not you. That combination — timestamp, operation, and identity — is the clearest live proof you can put on a slide.</w:t>
      </w:r>
    </w:p>
    <w:p w:rsidR="009E37C9" w:rsidRDefault="00000000">
      <w:pPr>
        <w:spacing w:after="140"/>
      </w:pPr>
      <w:r>
        <w:rPr>
          <w:b/>
          <w:bCs/>
        </w:rPr>
        <w:t xml:space="preserve">One caveat, confirmed live: </w:t>
      </w:r>
      <w:r>
        <w:t>the caller identity is always the same tenant-wide app ID (</w:t>
      </w:r>
      <w:r>
        <w:rPr>
          <w:rFonts w:ascii="Consolas" w:hAnsi="Consolas"/>
        </w:rPr>
        <w:t>identity_claim_appid_g</w:t>
      </w:r>
      <w:r>
        <w:t xml:space="preserve"> = </w:t>
      </w:r>
      <w:r>
        <w:rPr>
          <w:rFonts w:ascii="Consolas" w:hAnsi="Consolas"/>
        </w:rPr>
        <w:t>61d6811f-7544-4e75-a1e6-1c59c0383311</w:t>
      </w:r>
      <w:r>
        <w:t xml:space="preserve">), Fabric's shared </w:t>
      </w:r>
      <w:r>
        <w:rPr>
          <w:b/>
          <w:bCs/>
        </w:rPr>
        <w:t>“Fabric Platform CMK”</w:t>
      </w:r>
      <w:r>
        <w:t xml:space="preserve"> service principal — the same for every workspace in your tenant. It proves the key was used; it does not tell you which workspace or which end user triggered it. For that level of attribution you need Fabric-side auditing (Purview), not Key Vault logs alone.</w:t>
      </w:r>
    </w:p>
    <w:sectPr w:rsidR="009E37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C1670A"/>
    <w:multiLevelType w:val="hybridMultilevel"/>
    <w:tmpl w:val="71A66C7E"/>
    <w:lvl w:ilvl="0" w:tplc="B2D8AB24">
      <w:start w:val="1"/>
      <w:numFmt w:val="bullet"/>
      <w:lvlText w:val="•"/>
      <w:lvlJc w:val="left"/>
      <w:pPr>
        <w:ind w:left="504" w:hanging="288"/>
      </w:pPr>
    </w:lvl>
    <w:lvl w:ilvl="1" w:tplc="F18404BC">
      <w:numFmt w:val="decimal"/>
      <w:lvlText w:val=""/>
      <w:lvlJc w:val="left"/>
    </w:lvl>
    <w:lvl w:ilvl="2" w:tplc="E1F624E8">
      <w:numFmt w:val="decimal"/>
      <w:lvlText w:val=""/>
      <w:lvlJc w:val="left"/>
    </w:lvl>
    <w:lvl w:ilvl="3" w:tplc="33FE2770">
      <w:numFmt w:val="decimal"/>
      <w:lvlText w:val=""/>
      <w:lvlJc w:val="left"/>
    </w:lvl>
    <w:lvl w:ilvl="4" w:tplc="481E2C22">
      <w:numFmt w:val="decimal"/>
      <w:lvlText w:val=""/>
      <w:lvlJc w:val="left"/>
    </w:lvl>
    <w:lvl w:ilvl="5" w:tplc="989C381C">
      <w:numFmt w:val="decimal"/>
      <w:lvlText w:val=""/>
      <w:lvlJc w:val="left"/>
    </w:lvl>
    <w:lvl w:ilvl="6" w:tplc="F110B2A4">
      <w:numFmt w:val="decimal"/>
      <w:lvlText w:val=""/>
      <w:lvlJc w:val="left"/>
    </w:lvl>
    <w:lvl w:ilvl="7" w:tplc="F41461C4">
      <w:numFmt w:val="decimal"/>
      <w:lvlText w:val=""/>
      <w:lvlJc w:val="left"/>
    </w:lvl>
    <w:lvl w:ilvl="8" w:tplc="FD5EC476">
      <w:numFmt w:val="decimal"/>
      <w:lvlText w:val=""/>
      <w:lvlJc w:val="left"/>
    </w:lvl>
  </w:abstractNum>
  <w:abstractNum w:abstractNumId="1" w15:restartNumberingAfterBreak="0">
    <w:nsid w:val="6E1B5E22"/>
    <w:multiLevelType w:val="hybridMultilevel"/>
    <w:tmpl w:val="332A1922"/>
    <w:lvl w:ilvl="0" w:tplc="6D9C934C">
      <w:start w:val="1"/>
      <w:numFmt w:val="bullet"/>
      <w:lvlText w:val="●"/>
      <w:lvlJc w:val="left"/>
      <w:pPr>
        <w:ind w:left="720" w:hanging="360"/>
      </w:pPr>
    </w:lvl>
    <w:lvl w:ilvl="1" w:tplc="66BE1C1E">
      <w:start w:val="1"/>
      <w:numFmt w:val="bullet"/>
      <w:lvlText w:val="○"/>
      <w:lvlJc w:val="left"/>
      <w:pPr>
        <w:ind w:left="1440" w:hanging="360"/>
      </w:pPr>
    </w:lvl>
    <w:lvl w:ilvl="2" w:tplc="059A4446">
      <w:start w:val="1"/>
      <w:numFmt w:val="bullet"/>
      <w:lvlText w:val="■"/>
      <w:lvlJc w:val="left"/>
      <w:pPr>
        <w:ind w:left="2160" w:hanging="360"/>
      </w:pPr>
    </w:lvl>
    <w:lvl w:ilvl="3" w:tplc="99305FC4">
      <w:start w:val="1"/>
      <w:numFmt w:val="bullet"/>
      <w:lvlText w:val="●"/>
      <w:lvlJc w:val="left"/>
      <w:pPr>
        <w:ind w:left="2880" w:hanging="360"/>
      </w:pPr>
    </w:lvl>
    <w:lvl w:ilvl="4" w:tplc="686A3C38">
      <w:start w:val="1"/>
      <w:numFmt w:val="bullet"/>
      <w:lvlText w:val="○"/>
      <w:lvlJc w:val="left"/>
      <w:pPr>
        <w:ind w:left="3600" w:hanging="360"/>
      </w:pPr>
    </w:lvl>
    <w:lvl w:ilvl="5" w:tplc="B89CA7CE">
      <w:start w:val="1"/>
      <w:numFmt w:val="bullet"/>
      <w:lvlText w:val="■"/>
      <w:lvlJc w:val="left"/>
      <w:pPr>
        <w:ind w:left="4320" w:hanging="360"/>
      </w:pPr>
    </w:lvl>
    <w:lvl w:ilvl="6" w:tplc="F2BA6F40">
      <w:start w:val="1"/>
      <w:numFmt w:val="bullet"/>
      <w:lvlText w:val="●"/>
      <w:lvlJc w:val="left"/>
      <w:pPr>
        <w:ind w:left="5040" w:hanging="360"/>
      </w:pPr>
    </w:lvl>
    <w:lvl w:ilvl="7" w:tplc="5C5CBFC2">
      <w:start w:val="1"/>
      <w:numFmt w:val="bullet"/>
      <w:lvlText w:val="●"/>
      <w:lvlJc w:val="left"/>
      <w:pPr>
        <w:ind w:left="5760" w:hanging="360"/>
      </w:pPr>
    </w:lvl>
    <w:lvl w:ilvl="8" w:tplc="12FC954E">
      <w:start w:val="1"/>
      <w:numFmt w:val="bullet"/>
      <w:lvlText w:val="●"/>
      <w:lvlJc w:val="left"/>
      <w:pPr>
        <w:ind w:left="6480" w:hanging="360"/>
      </w:pPr>
    </w:lvl>
  </w:abstractNum>
  <w:num w:numId="1" w16cid:durableId="1413047690">
    <w:abstractNumId w:val="1"/>
    <w:lvlOverride w:ilvl="0">
      <w:startOverride w:val="1"/>
    </w:lvlOverride>
  </w:num>
  <w:num w:numId="2" w16cid:durableId="597719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7C9"/>
    <w:rsid w:val="009E37C9"/>
    <w:rsid w:val="00FA6FAC"/>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633CC8A9"/>
  <w15:docId w15:val="{94705927-7F38-9842-B283-E2A54541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1286</Words>
  <Characters>7335</Characters>
  <Application>Microsoft Office Word</Application>
  <DocSecurity>0</DocSecurity>
  <Lines>61</Lines>
  <Paragraphs>17</Paragraphs>
  <ScaleCrop>false</ScaleCrop>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Karianne Kies</cp:lastModifiedBy>
  <cp:revision>2</cp:revision>
  <dcterms:created xsi:type="dcterms:W3CDTF">2026-07-07T11:44:00Z</dcterms:created>
  <dcterms:modified xsi:type="dcterms:W3CDTF">2026-07-08T15:11:00Z</dcterms:modified>
</cp:coreProperties>
</file>