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jc w:val="center"/>
      </w:pPr>
      <w:r>
        <w:rPr>
          <w:rFonts w:ascii="Arial" w:cs="Arial" w:eastAsia="Arial" w:hAnsi="Arial"/>
          <w:b/>
          <w:bCs/>
          <w:color w:val="1E293B"/>
          <w:sz w:val="72"/>
          <w:szCs w:val="72"/>
        </w:rPr>
        <w:t xml:space="preserve">Inbox Sales Copilot</w:t>
      </w:r>
    </w:p>
    <w:p>
      <w:pPr>
        <w:spacing w:after="80" w:before="120"/>
        <w:jc w:val="center"/>
      </w:pPr>
      <w:r>
        <w:rPr>
          <w:rFonts w:ascii="Arial" w:cs="Arial" w:eastAsia="Arial" w:hAnsi="Arial"/>
          <w:color w:val="2563EB"/>
          <w:sz w:val="32"/>
          <w:szCs w:val="32"/>
        </w:rPr>
        <w:t xml:space="preserve">Product Study &amp; Implementation Guide</w:t>
      </w:r>
    </w:p>
    <w:p>
      <w:pPr>
        <w:spacing w:after="80" w:before="0"/>
        <w:jc w:val="center"/>
      </w:pPr>
      <w:r>
        <w:rPr>
          <w:rFonts w:ascii="Arial" w:cs="Arial" w:eastAsia="Arial" w:hAnsi="Arial"/>
          <w:color w:val="64748B"/>
          <w:sz w:val="22"/>
          <w:szCs w:val="22"/>
        </w:rPr>
        <w:t xml:space="preserve">Team 2  |  Open Source Applications Development  |  ITI Intake 46</w:t>
      </w:r>
    </w:p>
    <w:p>
      <w:pPr>
        <w:spacing w:after="0" w:before="40"/>
        <w:jc w:val="center"/>
      </w:pPr>
      <w:r>
        <w:rPr>
          <w:rFonts w:ascii="Arial" w:cs="Arial" w:eastAsia="Arial" w:hAnsi="Arial"/>
          <w:color w:val="64748B"/>
          <w:sz w:val="22"/>
          <w:szCs w:val="22"/>
        </w:rPr>
        <w:t xml:space="preserve">Karim Ibrahim, Mohamed Nagy, Mohamed Khaled, Rana Mohamed, Salma Yaser, Abdulrahman Ibrahim</w:t>
      </w:r>
    </w:p>
    <w:p>
      <w:pPr>
        <w:spacing w:after="480" w:before="0"/>
      </w:pPr>
      <w:r>
        <w:t xml:space="preserve"/>
      </w:r>
    </w:p>
    <w:p>
      <w:pPr>
        <w:pageBreakBefore/>
      </w:pPr>
      <w:r>
        <w:t xml:space="preserve"/>
      </w:r>
    </w:p>
    <w:p>
      <w:pPr>
        <w:pStyle w:val="Heading1"/>
        <w:spacing w:after="160" w:before="360"/>
      </w:pPr>
      <w:r>
        <w:rPr>
          <w:rFonts w:ascii="Arial" w:cs="Arial" w:eastAsia="Arial" w:hAnsi="Arial"/>
          <w:b/>
          <w:bCs/>
          <w:color w:val="1E293B"/>
          <w:sz w:val="36"/>
          <w:szCs w:val="36"/>
        </w:rPr>
        <w:t xml:space="preserve">Executive Summary</w:t>
      </w:r>
    </w:p>
    <w:p>
      <w:pPr>
        <w:spacing w:after="100" w:before="60"/>
      </w:pPr>
      <w:r>
        <w:rPr>
          <w:rFonts w:ascii="Arial" w:cs="Arial" w:eastAsia="Arial" w:hAnsi="Arial"/>
          <w:b w:val="false"/>
          <w:bCs w:val="false"/>
          <w:color w:val="334155"/>
          <w:sz w:val="22"/>
          <w:szCs w:val="22"/>
        </w:rPr>
        <w:t xml:space="preserve">Inbox Sales Copilot is an AI-powered email operations system designed for B2B sales teams that sell complex products. The system connects to Gmail, reads every incoming client email, classifies its intent, and handles it automatically. Product inquiries go through a full AI pipeline that extracts the client's requirements, matches them against a product knowledge base, and generates a technically accurate draft reply. All other email types, including demo requests, support tickets, follow-ups, and complaints, get summarized by the AI and forwarded to the right team member.</w:t>
      </w:r>
    </w:p>
    <w:p>
      <w:pPr>
        <w:spacing w:after="100" w:before="60"/>
      </w:pPr>
      <w:r>
        <w:rPr>
          <w:rFonts w:ascii="Arial" w:cs="Arial" w:eastAsia="Arial" w:hAnsi="Arial"/>
          <w:b w:val="false"/>
          <w:bCs w:val="false"/>
          <w:color w:val="334155"/>
          <w:sz w:val="22"/>
          <w:szCs w:val="22"/>
        </w:rPr>
        <w:t xml:space="preserve">The system maintains a persistent memory of every client across conversations and automatically syncs all interactions with HubSpot CRM. The sales engineer never has to leave Gmail. The manager monitors everything through a React admin dashboard.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single" w:color="2563EB" w:sz="8"/>
              <w:bottom w:val="single" w:color="2563EB" w:sz="8"/>
              <w:right w:val="single" w:color="2563EB" w:sz="8"/>
            </w:tcBorders>
            <w:shd w:fill="DBEAFE" w:val="clear"/>
            <w:tcMar>
              <w:top w:type="dxa" w:w="160"/>
              <w:left w:type="dxa" w:w="200"/>
              <w:bottom w:type="dxa" w:w="160"/>
              <w:right w:type="dxa" w:w="200"/>
            </w:tcMar>
          </w:tcPr>
          <w:p>
            <w:pPr>
              <w:spacing w:after="60" w:before="0"/>
            </w:pPr>
            <w:r>
              <w:rPr>
                <w:rFonts w:ascii="Arial" w:cs="Arial" w:eastAsia="Arial" w:hAnsi="Arial"/>
                <w:b/>
                <w:bCs/>
                <w:color w:val="2563EB"/>
                <w:sz w:val="22"/>
                <w:szCs w:val="22"/>
              </w:rPr>
              <w:t xml:space="preserve">Core Value Proposition</w:t>
            </w:r>
          </w:p>
          <w:p>
            <w:pPr>
              <w:spacing w:after="0" w:before="0"/>
            </w:pPr>
            <w:r>
              <w:rPr>
                <w:rFonts w:ascii="Arial" w:cs="Arial" w:eastAsia="Arial" w:hAnsi="Arial"/>
                <w:color w:val="1E293B"/>
                <w:sz w:val="22"/>
                <w:szCs w:val="22"/>
              </w:rPr>
              <w:t xml:space="preserve">A sales engineer gets 30 client emails a day. Each one requires reading, researching, and writing a reply. That takes 1-2 hours per email and adds up to 60-70% of their working day spent on admin instead of selling. Inbox Sales Copilot eliminates that. The engineer opens Gmail and the drafts are already written, the clients are already routed, and the CRM is already updated.</w:t>
            </w:r>
          </w:p>
        </w:tc>
      </w:tr>
    </w:tbl>
    <w:p>
      <w:pPr>
        <w:spacing w:after="240" w:before="0"/>
      </w:pPr>
      <w:r>
        <w:t xml:space="preserve"/>
      </w:r>
    </w:p>
    <w:p>
      <w:pPr>
        <w:pageBreakBefore/>
      </w:pPr>
      <w:r>
        <w:t xml:space="preserve"/>
      </w:r>
    </w:p>
    <w:p>
      <w:pPr>
        <w:pStyle w:val="Heading1"/>
        <w:spacing w:after="160" w:before="360"/>
      </w:pPr>
      <w:r>
        <w:rPr>
          <w:rFonts w:ascii="Arial" w:cs="Arial" w:eastAsia="Arial" w:hAnsi="Arial"/>
          <w:b/>
          <w:bCs/>
          <w:color w:val="1E293B"/>
          <w:sz w:val="36"/>
          <w:szCs w:val="36"/>
        </w:rPr>
        <w:t xml:space="preserve">1. The Problem We Solve</w:t>
      </w:r>
    </w:p>
    <w:p>
      <w:pPr>
        <w:pStyle w:val="Heading2"/>
        <w:spacing w:after="120" w:before="280"/>
      </w:pPr>
      <w:r>
        <w:rPr>
          <w:rFonts w:ascii="Arial" w:cs="Arial" w:eastAsia="Arial" w:hAnsi="Arial"/>
          <w:b/>
          <w:bCs/>
          <w:color w:val="2563EB"/>
          <w:sz w:val="28"/>
          <w:szCs w:val="28"/>
        </w:rPr>
        <w:t xml:space="preserve">1.1 What is Actually Happening in B2B Sales Teams</w:t>
      </w:r>
    </w:p>
    <w:p>
      <w:pPr>
        <w:spacing w:after="100" w:before="60"/>
      </w:pPr>
      <w:r>
        <w:rPr>
          <w:rFonts w:ascii="Arial" w:cs="Arial" w:eastAsia="Arial" w:hAnsi="Arial"/>
          <w:b w:val="false"/>
          <w:bCs w:val="false"/>
          <w:color w:val="334155"/>
          <w:sz w:val="22"/>
          <w:szCs w:val="22"/>
        </w:rPr>
        <w:t xml:space="preserve">A B2B company that sells technical products, whether audio guide systems, industrial machines, enterprise software, or medical equipment, receives client emails every day. These emails are not simple questions. A museum director asks which audio guide model supports RFID triggering across three floors with Arabic and English language support and at least eight hours of battery life. An industrial plant manager asks which CNC configuration handles aluminum at 0.01mm precision with automated tool changing. A hospital procurement officer asks which patient monitoring system integrates with their existing EMR platform.</w:t>
      </w:r>
    </w:p>
    <w:p>
      <w:pPr>
        <w:spacing w:after="100" w:before="60"/>
      </w:pPr>
      <w:r>
        <w:rPr>
          <w:rFonts w:ascii="Arial" w:cs="Arial" w:eastAsia="Arial" w:hAnsi="Arial"/>
          <w:b w:val="false"/>
          <w:bCs w:val="false"/>
          <w:color w:val="334155"/>
          <w:sz w:val="22"/>
          <w:szCs w:val="22"/>
        </w:rPr>
        <w:t xml:space="preserve">Each of these emails requires a different person to read it carefully, recall the full product catalog from memory, cross-reference compatibility rules, remember what this specific client discussed last month, and write a technically accurate reply. That is not a five-minute job. It typically takes one to two hours per email.</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563EB" w:sz="6"/>
              <w:left w:val="single" w:color="2563EB" w:sz="6"/>
              <w:bottom w:val="single" w:color="2563EB" w:sz="6"/>
              <w:right w:val="single" w:color="2563EB" w:sz="6"/>
            </w:tcBorders>
            <w:shd w:fill="DBEAFE" w:val="clear"/>
            <w:tcMar>
              <w:top w:type="dxa" w:w="180"/>
              <w:left w:type="dxa" w:w="200"/>
              <w:bottom w:type="dxa" w:w="180"/>
              <w:right w:type="dxa" w:w="200"/>
            </w:tcMar>
          </w:tcPr>
          <w:p>
            <w:pPr>
              <w:jc w:val="center"/>
            </w:pPr>
            <w:r>
              <w:rPr>
                <w:rFonts w:ascii="Arial" w:cs="Arial" w:eastAsia="Arial" w:hAnsi="Arial"/>
                <w:b/>
                <w:bCs/>
                <w:color w:val="2563EB"/>
                <w:sz w:val="56"/>
                <w:szCs w:val="56"/>
              </w:rPr>
              <w:t xml:space="preserve">70%</w:t>
            </w:r>
          </w:p>
          <w:p>
            <w:pPr>
              <w:spacing w:before="40"/>
              <w:jc w:val="center"/>
            </w:pPr>
            <w:r>
              <w:rPr>
                <w:rFonts w:ascii="Arial" w:cs="Arial" w:eastAsia="Arial" w:hAnsi="Arial"/>
                <w:color w:val="1E293B"/>
                <w:sz w:val="20"/>
                <w:szCs w:val="20"/>
              </w:rPr>
              <w:t xml:space="preserve">of a sales engineer's working day spent on admin, not selling (Salesforce)</w:t>
            </w:r>
          </w:p>
        </w:tc>
        <w:tc>
          <w:tcPr>
            <w:tcW w:type="dxa" w:w="4680"/>
            <w:tcBorders>
              <w:top w:val="single" w:color="059669" w:sz="6"/>
              <w:left w:val="single" w:color="059669" w:sz="6"/>
              <w:bottom w:val="single" w:color="059669" w:sz="6"/>
              <w:right w:val="single" w:color="059669" w:sz="6"/>
            </w:tcBorders>
            <w:shd w:fill="D1FAE5" w:val="clear"/>
            <w:tcMar>
              <w:top w:type="dxa" w:w="180"/>
              <w:left w:type="dxa" w:w="200"/>
              <w:bottom w:type="dxa" w:w="180"/>
              <w:right w:type="dxa" w:w="200"/>
            </w:tcMar>
          </w:tcPr>
          <w:p>
            <w:pPr>
              <w:jc w:val="center"/>
            </w:pPr>
            <w:r>
              <w:rPr>
                <w:rFonts w:ascii="Arial" w:cs="Arial" w:eastAsia="Arial" w:hAnsi="Arial"/>
                <w:b/>
                <w:bCs/>
                <w:color w:val="059669"/>
                <w:sz w:val="56"/>
                <w:szCs w:val="56"/>
              </w:rPr>
              <w:t xml:space="preserve">42 hrs</w:t>
            </w:r>
          </w:p>
          <w:p>
            <w:pPr>
              <w:spacing w:before="40"/>
              <w:jc w:val="center"/>
            </w:pPr>
            <w:r>
              <w:rPr>
                <w:rFonts w:ascii="Arial" w:cs="Arial" w:eastAsia="Arial" w:hAnsi="Arial"/>
                <w:color w:val="1E293B"/>
                <w:sz w:val="20"/>
                <w:szCs w:val="20"/>
              </w:rPr>
              <w:t xml:space="preserve">average B2B lead response time — nearly two full business days (Kixie, 2025)</w:t>
            </w:r>
          </w:p>
        </w:tc>
      </w:tr>
    </w:tbl>
    <w:p>
      <w:pPr>
        <w:spacing w:after="240" w:before="0"/>
      </w:pPr>
      <w:r>
        <w:t xml:space="preserve"/>
      </w:r>
    </w:p>
    <w:p>
      <w:pPr>
        <w:spacing w:after="100" w:before="60"/>
      </w:pPr>
      <w:r>
        <w:rPr>
          <w:rFonts w:ascii="Arial" w:cs="Arial" w:eastAsia="Arial" w:hAnsi="Arial"/>
          <w:b w:val="false"/>
          <w:bCs w:val="false"/>
          <w:color w:val="334155"/>
          <w:sz w:val="22"/>
          <w:szCs w:val="22"/>
        </w:rPr>
        <w:t xml:space="preserve">Beyond the time cost, there are structural problems that compound over time:</w:t>
      </w:r>
    </w:p>
    <w:p>
      <w:pPr>
        <w:pStyle w:val="ListParagraph"/>
        <w:numPr>
          <w:ilvl w:val="0"/>
          <w:numId w:val="2"/>
        </w:numPr>
        <w:spacing w:after="40" w:before="40"/>
      </w:pPr>
      <w:r>
        <w:rPr>
          <w:rFonts w:ascii="Arial" w:cs="Arial" w:eastAsia="Arial" w:hAnsi="Arial"/>
          <w:b w:val="false"/>
          <w:bCs w:val="false"/>
          <w:color w:val="334155"/>
          <w:sz w:val="22"/>
          <w:szCs w:val="22"/>
        </w:rPr>
        <w:t xml:space="preserve">Client context gets lost. A conversation that started three weeks ago, was handled by one engineer, and is now being followed up by another engineer starts from scratch because nobody logged the previous discussion properly.</w:t>
      </w:r>
    </w:p>
    <w:p>
      <w:pPr>
        <w:pStyle w:val="ListParagraph"/>
        <w:numPr>
          <w:ilvl w:val="0"/>
          <w:numId w:val="2"/>
        </w:numPr>
        <w:spacing w:after="40" w:before="40"/>
      </w:pPr>
      <w:r>
        <w:rPr>
          <w:rFonts w:ascii="Arial" w:cs="Arial" w:eastAsia="Arial" w:hAnsi="Arial"/>
          <w:b w:val="false"/>
          <w:bCs w:val="false"/>
          <w:color w:val="334155"/>
          <w:sz w:val="22"/>
          <w:szCs w:val="22"/>
        </w:rPr>
        <w:t xml:space="preserve">Product knowledge is trapped in people's heads. The senior engineer who knows every product compatibility rule goes on vacation, and the junior engineer guessing their way through a reply costs the company a deal.</w:t>
      </w:r>
    </w:p>
    <w:p>
      <w:pPr>
        <w:pStyle w:val="ListParagraph"/>
        <w:numPr>
          <w:ilvl w:val="0"/>
          <w:numId w:val="2"/>
        </w:numPr>
        <w:spacing w:after="40" w:before="40"/>
      </w:pPr>
      <w:r>
        <w:rPr>
          <w:rFonts w:ascii="Arial" w:cs="Arial" w:eastAsia="Arial" w:hAnsi="Arial"/>
          <w:b w:val="false"/>
          <w:bCs w:val="false"/>
          <w:color w:val="334155"/>
          <w:sz w:val="22"/>
          <w:szCs w:val="22"/>
        </w:rPr>
        <w:t xml:space="preserve">Recommendations are inconsistent. Different engineers recommend different products for the same requirements depending on their knowledge level and how tired they are.</w:t>
      </w:r>
    </w:p>
    <w:p>
      <w:pPr>
        <w:pStyle w:val="ListParagraph"/>
        <w:numPr>
          <w:ilvl w:val="0"/>
          <w:numId w:val="2"/>
        </w:numPr>
        <w:spacing w:after="40" w:before="40"/>
      </w:pPr>
      <w:r>
        <w:rPr>
          <w:rFonts w:ascii="Arial" w:cs="Arial" w:eastAsia="Arial" w:hAnsi="Arial"/>
          <w:b w:val="false"/>
          <w:bCs w:val="false"/>
          <w:color w:val="334155"/>
          <w:sz w:val="22"/>
          <w:szCs w:val="22"/>
        </w:rPr>
        <w:t xml:space="preserve">The CRM is always out of date. Nobody has time to update HubSpot after every email. So 79% of sales opportunity data never enters the system, and the pipeline visibility the manager is reporting from is fiction.</w:t>
      </w:r>
    </w:p>
    <w:p>
      <w:pPr>
        <w:spacing w:after="120" w:before="0"/>
      </w:pPr>
      <w:r>
        <w:t xml:space="preserve"/>
      </w:r>
    </w:p>
    <w:p>
      <w:pPr>
        <w:pStyle w:val="Heading2"/>
        <w:spacing w:after="120" w:before="280"/>
      </w:pPr>
      <w:r>
        <w:rPr>
          <w:rFonts w:ascii="Arial" w:cs="Arial" w:eastAsia="Arial" w:hAnsi="Arial"/>
          <w:b/>
          <w:bCs/>
          <w:color w:val="2563EB"/>
          <w:sz w:val="28"/>
          <w:szCs w:val="28"/>
        </w:rPr>
        <w:t xml:space="preserve">1.2 The Consequences of Doing Nothing</w:t>
      </w:r>
    </w:p>
    <w:p>
      <w:pPr>
        <w:spacing w:after="100" w:before="60"/>
      </w:pPr>
      <w:r>
        <w:rPr>
          <w:rFonts w:ascii="Arial" w:cs="Arial" w:eastAsia="Arial" w:hAnsi="Arial"/>
          <w:b w:val="false"/>
          <w:bCs w:val="false"/>
          <w:color w:val="334155"/>
          <w:sz w:val="22"/>
          <w:szCs w:val="22"/>
        </w:rPr>
        <w:t xml:space="preserve">The cost of slow inbound response in B2B sales is not theoretical. According to a 2025 study by Kixie, being the first vendor to respond increases sales conversion rates by up to 391%. Thirty-five to fifty percent of B2B sales go to the first vendor that responds. And yet the average response time across B2B companies is 42 hours.</w:t>
      </w:r>
    </w:p>
    <w:p>
      <w:pPr>
        <w:spacing w:after="100" w:before="60"/>
      </w:pPr>
      <w:r>
        <w:rPr>
          <w:rFonts w:ascii="Arial" w:cs="Arial" w:eastAsia="Arial" w:hAnsi="Arial"/>
          <w:b w:val="false"/>
          <w:bCs w:val="false"/>
          <w:color w:val="334155"/>
          <w:sz w:val="22"/>
          <w:szCs w:val="22"/>
        </w:rPr>
        <w:t xml:space="preserve">While a sales engineer is writing reply number three, replies four through thirty are waiting. By the time those clients hear back, some have already contacted a competitor. Others have moved on entirely. Studies show that only 27% of inbound leads ever receive a response at all. The other 73% disappear into the inbox backlog.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8"/>
              <w:left w:val="single" w:color="DC2626" w:sz="8"/>
              <w:bottom w:val="single" w:color="DC2626" w:sz="8"/>
              <w:right w:val="single" w:color="DC2626" w:sz="8"/>
            </w:tcBorders>
            <w:shd w:fill="FEE2E2" w:val="clear"/>
            <w:tcMar>
              <w:top w:type="dxa" w:w="200"/>
              <w:left w:type="dxa" w:w="240"/>
              <w:bottom w:type="dxa" w:w="200"/>
              <w:right w:type="dxa" w:w="240"/>
            </w:tcMar>
          </w:tcPr>
          <w:p>
            <w:pPr>
              <w:jc w:val="center"/>
            </w:pPr>
            <w:r>
              <w:rPr>
                <w:rFonts w:ascii="Arial" w:cs="Arial" w:eastAsia="Arial" w:hAnsi="Arial"/>
                <w:b/>
                <w:bCs/>
                <w:color w:val="DC2626"/>
                <w:sz w:val="72"/>
                <w:szCs w:val="72"/>
              </w:rPr>
              <w:t xml:space="preserve">35-50%</w:t>
            </w:r>
          </w:p>
          <w:p>
            <w:pPr>
              <w:spacing w:before="60"/>
              <w:jc w:val="center"/>
            </w:pPr>
            <w:r>
              <w:rPr>
                <w:rFonts w:ascii="Arial" w:cs="Arial" w:eastAsia="Arial" w:hAnsi="Arial"/>
                <w:color w:val="1E293B"/>
                <w:sz w:val="24"/>
                <w:szCs w:val="24"/>
              </w:rPr>
              <w:t xml:space="preserve">of B2B deals go to the FIRST vendor that responds. Speed is not a courtesy — it is a revenue strategy.</w:t>
            </w:r>
          </w:p>
        </w:tc>
      </w:tr>
    </w:tbl>
    <w:p>
      <w:pPr>
        <w:spacing w:after="240" w:before="0"/>
      </w:pPr>
      <w:r>
        <w:t xml:space="preserve"/>
      </w:r>
    </w:p>
    <w:p>
      <w:pPr>
        <w:pageBreakBefore/>
      </w:pPr>
      <w:r>
        <w:t xml:space="preserve"/>
      </w:r>
    </w:p>
    <w:p>
      <w:pPr>
        <w:pStyle w:val="Heading1"/>
        <w:spacing w:after="160" w:before="360"/>
      </w:pPr>
      <w:r>
        <w:rPr>
          <w:rFonts w:ascii="Arial" w:cs="Arial" w:eastAsia="Arial" w:hAnsi="Arial"/>
          <w:b/>
          <w:bCs/>
          <w:color w:val="1E293B"/>
          <w:sz w:val="36"/>
          <w:szCs w:val="36"/>
        </w:rPr>
        <w:t xml:space="preserve">2. Market Analysis</w:t>
      </w:r>
    </w:p>
    <w:p>
      <w:pPr>
        <w:pStyle w:val="Heading2"/>
        <w:spacing w:after="120" w:before="280"/>
      </w:pPr>
      <w:r>
        <w:rPr>
          <w:rFonts w:ascii="Arial" w:cs="Arial" w:eastAsia="Arial" w:hAnsi="Arial"/>
          <w:b/>
          <w:bCs/>
          <w:color w:val="2563EB"/>
          <w:sz w:val="28"/>
          <w:szCs w:val="28"/>
        </w:rPr>
        <w:t xml:space="preserve">2.1 The Market Size</w:t>
      </w:r>
    </w:p>
    <w:p>
      <w:pPr>
        <w:spacing w:after="100" w:before="60"/>
      </w:pPr>
      <w:r>
        <w:rPr>
          <w:rFonts w:ascii="Arial" w:cs="Arial" w:eastAsia="Arial" w:hAnsi="Arial"/>
          <w:b w:val="false"/>
          <w:bCs w:val="false"/>
          <w:color w:val="334155"/>
          <w:sz w:val="22"/>
          <w:szCs w:val="22"/>
        </w:rPr>
        <w:t xml:space="preserve">The problem Inbox Sales Copilot addresses sits at the intersection of two large and fast-growing markets.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1E3A5F" w:sz="8"/>
              <w:left w:val="single" w:color="1E3A5F" w:sz="8"/>
              <w:bottom w:val="single" w:color="1E3A5F" w:sz="8"/>
              <w:right w:val="single" w:color="1E3A5F" w:sz="8"/>
            </w:tcBorders>
            <w:shd w:fill="1E293B" w:val="clear"/>
            <w:tcMar>
              <w:top w:type="dxa" w:w="100"/>
              <w:left w:type="dxa" w:w="140"/>
              <w:bottom w:type="dxa" w:w="100"/>
              <w:right w:type="dxa" w:w="100"/>
            </w:tcMar>
          </w:tcPr>
          <w:p>
            <w:r>
              <w:rPr>
                <w:rFonts w:ascii="Arial" w:cs="Arial" w:eastAsia="Arial" w:hAnsi="Arial"/>
                <w:b/>
                <w:bCs/>
                <w:color w:val="FFFFFF"/>
                <w:sz w:val="20"/>
                <w:szCs w:val="20"/>
              </w:rPr>
              <w:t xml:space="preserve">Market</w:t>
            </w:r>
          </w:p>
        </w:tc>
        <w:tc>
          <w:tcPr>
            <w:tcW w:type="dxa" w:w="3000"/>
            <w:tcBorders>
              <w:top w:val="single" w:color="1E3A5F" w:sz="8"/>
              <w:left w:val="single" w:color="1E3A5F" w:sz="8"/>
              <w:bottom w:val="single" w:color="1E3A5F" w:sz="8"/>
              <w:right w:val="single" w:color="1E3A5F" w:sz="8"/>
            </w:tcBorders>
            <w:shd w:fill="1E293B" w:val="clear"/>
            <w:tcMar>
              <w:top w:type="dxa" w:w="100"/>
              <w:left w:type="dxa" w:w="140"/>
              <w:bottom w:type="dxa" w:w="100"/>
              <w:right w:type="dxa" w:w="100"/>
            </w:tcMar>
          </w:tcPr>
          <w:p>
            <w:r>
              <w:rPr>
                <w:rFonts w:ascii="Arial" w:cs="Arial" w:eastAsia="Arial" w:hAnsi="Arial"/>
                <w:b/>
                <w:bCs/>
                <w:color w:val="FFFFFF"/>
                <w:sz w:val="20"/>
                <w:szCs w:val="20"/>
              </w:rPr>
              <w:t xml:space="preserve">Size (2025)</w:t>
            </w:r>
          </w:p>
        </w:tc>
        <w:tc>
          <w:tcPr>
            <w:tcW w:type="dxa" w:w="3360"/>
            <w:tcBorders>
              <w:top w:val="single" w:color="1E3A5F" w:sz="8"/>
              <w:left w:val="single" w:color="1E3A5F" w:sz="8"/>
              <w:bottom w:val="single" w:color="1E3A5F" w:sz="8"/>
              <w:right w:val="single" w:color="1E3A5F" w:sz="8"/>
            </w:tcBorders>
            <w:shd w:fill="1E293B" w:val="clear"/>
            <w:tcMar>
              <w:top w:type="dxa" w:w="100"/>
              <w:left w:type="dxa" w:w="140"/>
              <w:bottom w:type="dxa" w:w="100"/>
              <w:right w:type="dxa" w:w="100"/>
            </w:tcMar>
          </w:tcPr>
          <w:p>
            <w:r>
              <w:rPr>
                <w:rFonts w:ascii="Arial" w:cs="Arial" w:eastAsia="Arial" w:hAnsi="Arial"/>
                <w:b/>
                <w:bCs/>
                <w:color w:val="FFFFFF"/>
                <w:sz w:val="20"/>
                <w:szCs w:val="20"/>
              </w:rPr>
              <w:t xml:space="preserve">Growth</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Global CRM Market</w:t>
            </w:r>
          </w:p>
        </w:tc>
        <w:tc>
          <w:tcPr>
            <w:tcW w:type="dxa" w:w="3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$97 - $112 billion</w:t>
            </w:r>
          </w:p>
        </w:tc>
        <w:tc>
          <w:tcPr>
            <w:tcW w:type="dxa" w:w="3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Stable, enterprise-driven</w:t>
            </w:r>
          </w:p>
        </w:tc>
      </w:tr>
      <w:tr>
        <w:tc>
          <w:tcPr>
            <w:tcW w:type="dxa" w:w="30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AI in CRM Market</w:t>
            </w:r>
          </w:p>
        </w:tc>
        <w:tc>
          <w:tcPr>
            <w:tcW w:type="dxa" w:w="30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$11 billion</w:t>
            </w:r>
          </w:p>
        </w:tc>
        <w:tc>
          <w:tcPr>
            <w:tcW w:type="dxa" w:w="33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Rapid, AI integration wave</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B2B Sales Technology</w:t>
            </w:r>
          </w:p>
        </w:tc>
        <w:tc>
          <w:tcPr>
            <w:tcW w:type="dxa" w:w="3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$30+ billion</w:t>
            </w:r>
          </w:p>
        </w:tc>
        <w:tc>
          <w:tcPr>
            <w:tcW w:type="dxa" w:w="3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Expanding with AI automation</w:t>
            </w:r>
          </w:p>
        </w:tc>
      </w:tr>
      <w:tr>
        <w:tc>
          <w:tcPr>
            <w:tcW w:type="dxa" w:w="30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AI Email Assistant Market</w:t>
            </w:r>
          </w:p>
        </w:tc>
        <w:tc>
          <w:tcPr>
            <w:tcW w:type="dxa" w:w="30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$2.5 billion (2025 est.)</w:t>
            </w:r>
          </w:p>
        </w:tc>
        <w:tc>
          <w:tcPr>
            <w:tcW w:type="dxa" w:w="33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Accelerating</w:t>
            </w:r>
          </w:p>
        </w:tc>
      </w:tr>
    </w:tbl>
    <w:p>
      <w:pPr>
        <w:spacing w:after="240" w:before="0"/>
      </w:pPr>
      <w:r>
        <w:t xml:space="preserve"/>
      </w:r>
    </w:p>
    <w:p>
      <w:pPr>
        <w:pStyle w:val="Heading2"/>
        <w:spacing w:after="120" w:before="280"/>
      </w:pPr>
      <w:r>
        <w:rPr>
          <w:rFonts w:ascii="Arial" w:cs="Arial" w:eastAsia="Arial" w:hAnsi="Arial"/>
          <w:b/>
          <w:bCs/>
          <w:color w:val="2563EB"/>
          <w:sz w:val="28"/>
          <w:szCs w:val="28"/>
        </w:rPr>
        <w:t xml:space="preserve">2.2 The Demand Signal</w:t>
      </w:r>
    </w:p>
    <w:p>
      <w:pPr>
        <w:spacing w:after="100" w:before="60"/>
      </w:pPr>
      <w:r>
        <w:rPr>
          <w:rFonts w:ascii="Arial" w:cs="Arial" w:eastAsia="Arial" w:hAnsi="Arial"/>
          <w:b w:val="false"/>
          <w:bCs w:val="false"/>
          <w:color w:val="334155"/>
          <w:sz w:val="22"/>
          <w:szCs w:val="22"/>
        </w:rPr>
        <w:t xml:space="preserve">The data on B2B sales operations is consistent and severe across multiple independent sources: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1E3A5F" w:sz="8"/>
              <w:left w:val="single" w:color="1E3A5F" w:sz="8"/>
              <w:bottom w:val="single" w:color="1E3A5F" w:sz="8"/>
              <w:right w:val="single" w:color="1E3A5F" w:sz="8"/>
            </w:tcBorders>
            <w:shd w:fill="1E293B" w:val="clear"/>
            <w:tcMar>
              <w:top w:type="dxa" w:w="100"/>
              <w:left w:type="dxa" w:w="140"/>
              <w:bottom w:type="dxa" w:w="100"/>
              <w:right w:type="dxa" w:w="100"/>
            </w:tcMar>
          </w:tcPr>
          <w:p>
            <w:r>
              <w:rPr>
                <w:rFonts w:ascii="Arial" w:cs="Arial" w:eastAsia="Arial" w:hAnsi="Arial"/>
                <w:b/>
                <w:bCs/>
                <w:color w:val="FFFFFF"/>
                <w:sz w:val="20"/>
                <w:szCs w:val="20"/>
              </w:rPr>
              <w:t xml:space="preserve">Statistic</w:t>
            </w:r>
          </w:p>
        </w:tc>
        <w:tc>
          <w:tcPr>
            <w:tcW w:type="dxa" w:w="3000"/>
            <w:tcBorders>
              <w:top w:val="single" w:color="1E3A5F" w:sz="8"/>
              <w:left w:val="single" w:color="1E3A5F" w:sz="8"/>
              <w:bottom w:val="single" w:color="1E3A5F" w:sz="8"/>
              <w:right w:val="single" w:color="1E3A5F" w:sz="8"/>
            </w:tcBorders>
            <w:shd w:fill="1E293B" w:val="clear"/>
            <w:tcMar>
              <w:top w:type="dxa" w:w="100"/>
              <w:left w:type="dxa" w:w="140"/>
              <w:bottom w:type="dxa" w:w="100"/>
              <w:right w:type="dxa" w:w="100"/>
            </w:tcMar>
          </w:tcPr>
          <w:p>
            <w:r>
              <w:rPr>
                <w:rFonts w:ascii="Arial" w:cs="Arial" w:eastAsia="Arial" w:hAnsi="Arial"/>
                <w:b/>
                <w:bCs/>
                <w:color w:val="FFFFFF"/>
                <w:sz w:val="20"/>
                <w:szCs w:val="20"/>
              </w:rPr>
              <w:t xml:space="preserve">Source</w:t>
            </w:r>
          </w:p>
        </w:tc>
      </w:tr>
      <w:tr>
        <w:tc>
          <w:tcPr>
            <w:tcW w:type="dxa" w:w="6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70% of sales engineer time spent on admin, not selling</w:t>
            </w:r>
          </w:p>
        </w:tc>
        <w:tc>
          <w:tcPr>
            <w:tcW w:type="dxa" w:w="3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Salesforce State of Sales</w:t>
            </w:r>
          </w:p>
        </w:tc>
      </w:tr>
      <w:tr>
        <w:tc>
          <w:tcPr>
            <w:tcW w:type="dxa" w:w="63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79% of sales opportunity data never enters the CRM</w:t>
            </w:r>
          </w:p>
        </w:tc>
        <w:tc>
          <w:tcPr>
            <w:tcW w:type="dxa" w:w="30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Salesforce</w:t>
            </w:r>
          </w:p>
        </w:tc>
      </w:tr>
      <w:tr>
        <w:tc>
          <w:tcPr>
            <w:tcW w:type="dxa" w:w="6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32% of reps waste more than one hour daily on CRM data entry alone</w:t>
            </w:r>
          </w:p>
        </w:tc>
        <w:tc>
          <w:tcPr>
            <w:tcW w:type="dxa" w:w="3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CRM.org, 2025</w:t>
            </w:r>
          </w:p>
        </w:tc>
      </w:tr>
      <w:tr>
        <w:tc>
          <w:tcPr>
            <w:tcW w:type="dxa" w:w="63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85% of salespeople have missed sales because of incorrect CRM data</w:t>
            </w:r>
          </w:p>
        </w:tc>
        <w:tc>
          <w:tcPr>
            <w:tcW w:type="dxa" w:w="30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EverReady, 2025</w:t>
            </w:r>
          </w:p>
        </w:tc>
      </w:tr>
      <w:tr>
        <w:tc>
          <w:tcPr>
            <w:tcW w:type="dxa" w:w="6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42 hours: average B2B lead response time</w:t>
            </w:r>
          </w:p>
        </w:tc>
        <w:tc>
          <w:tcPr>
            <w:tcW w:type="dxa" w:w="3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Kixie, 2025</w:t>
            </w:r>
          </w:p>
        </w:tc>
      </w:tr>
      <w:tr>
        <w:tc>
          <w:tcPr>
            <w:tcW w:type="dxa" w:w="63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391% higher conversion rate when responding within minutes vs. hours</w:t>
            </w:r>
          </w:p>
        </w:tc>
        <w:tc>
          <w:tcPr>
            <w:tcW w:type="dxa" w:w="30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Lead Connect / Kixie</w:t>
            </w:r>
          </w:p>
        </w:tc>
      </w:tr>
      <w:tr>
        <w:tc>
          <w:tcPr>
            <w:tcW w:type="dxa" w:w="6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35-50% of B2B sales go to the first vendor that responds</w:t>
            </w:r>
          </w:p>
        </w:tc>
        <w:tc>
          <w:tcPr>
            <w:tcW w:type="dxa" w:w="3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Multiple sources, 2025</w:t>
            </w:r>
          </w:p>
        </w:tc>
      </w:tr>
      <w:tr>
        <w:tc>
          <w:tcPr>
            <w:tcW w:type="dxa" w:w="63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CRM data decays at 22% per year even when updated manually</w:t>
            </w:r>
          </w:p>
        </w:tc>
        <w:tc>
          <w:tcPr>
            <w:tcW w:type="dxa" w:w="30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HubSpot / MarketingSherpa</w:t>
            </w:r>
          </w:p>
        </w:tc>
      </w:tr>
      <w:tr>
        <w:tc>
          <w:tcPr>
            <w:tcW w:type="dxa" w:w="6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Only 27% of inbound leads are ever contacted at all</w:t>
            </w:r>
          </w:p>
        </w:tc>
        <w:tc>
          <w:tcPr>
            <w:tcW w:type="dxa" w:w="3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Multiple studies</w:t>
            </w:r>
          </w:p>
        </w:tc>
      </w:tr>
    </w:tbl>
    <w:p>
      <w:pPr>
        <w:spacing w:after="240" w:before="0"/>
      </w:pPr>
      <w:r>
        <w:t xml:space="preserve"/>
      </w:r>
    </w:p>
    <w:p>
      <w:pPr>
        <w:pStyle w:val="Heading2"/>
        <w:spacing w:after="120" w:before="280"/>
      </w:pPr>
      <w:r>
        <w:rPr>
          <w:rFonts w:ascii="Arial" w:cs="Arial" w:eastAsia="Arial" w:hAnsi="Arial"/>
          <w:b/>
          <w:bCs/>
          <w:color w:val="2563EB"/>
          <w:sz w:val="28"/>
          <w:szCs w:val="28"/>
        </w:rPr>
        <w:t xml:space="preserve">2.3 Who Needs This</w:t>
      </w:r>
    </w:p>
    <w:p>
      <w:pPr>
        <w:spacing w:after="100" w:before="60"/>
      </w:pPr>
      <w:r>
        <w:rPr>
          <w:rFonts w:ascii="Arial" w:cs="Arial" w:eastAsia="Arial" w:hAnsi="Arial"/>
          <w:b w:val="false"/>
          <w:bCs w:val="false"/>
          <w:color w:val="334155"/>
          <w:sz w:val="22"/>
          <w:szCs w:val="22"/>
        </w:rPr>
        <w:t xml:space="preserve">The primary user is any B2B company that sells products complex enough to require a human expert to match product to requirement. The most obvious examples:</w:t>
      </w:r>
    </w:p>
    <w:p>
      <w:pPr>
        <w:pStyle w:val="ListParagraph"/>
        <w:numPr>
          <w:ilvl w:val="0"/>
          <w:numId w:val="2"/>
        </w:numPr>
        <w:spacing w:after="40" w:before="40"/>
      </w:pPr>
      <w:r>
        <w:rPr>
          <w:rFonts w:ascii="Arial" w:cs="Arial" w:eastAsia="Arial" w:hAnsi="Arial"/>
          <w:b w:val="false"/>
          <w:bCs w:val="false"/>
          <w:color w:val="334155"/>
          <w:sz w:val="22"/>
          <w:szCs w:val="22"/>
        </w:rPr>
        <w:t xml:space="preserve">Museum technology vendors (audio guides, IR triggering, multilingual systems)</w:t>
      </w:r>
    </w:p>
    <w:p>
      <w:pPr>
        <w:pStyle w:val="ListParagraph"/>
        <w:numPr>
          <w:ilvl w:val="0"/>
          <w:numId w:val="2"/>
        </w:numPr>
        <w:spacing w:after="40" w:before="40"/>
      </w:pPr>
      <w:r>
        <w:rPr>
          <w:rFonts w:ascii="Arial" w:cs="Arial" w:eastAsia="Arial" w:hAnsi="Arial"/>
          <w:b w:val="false"/>
          <w:bCs w:val="false"/>
          <w:color w:val="334155"/>
          <w:sz w:val="22"/>
          <w:szCs w:val="22"/>
        </w:rPr>
        <w:t xml:space="preserve">Industrial equipment manufacturers (CNC machines, robotics, conveyors)</w:t>
      </w:r>
    </w:p>
    <w:p>
      <w:pPr>
        <w:pStyle w:val="ListParagraph"/>
        <w:numPr>
          <w:ilvl w:val="0"/>
          <w:numId w:val="2"/>
        </w:numPr>
        <w:spacing w:after="40" w:before="40"/>
      </w:pPr>
      <w:r>
        <w:rPr>
          <w:rFonts w:ascii="Arial" w:cs="Arial" w:eastAsia="Arial" w:hAnsi="Arial"/>
          <w:b w:val="false"/>
          <w:bCs w:val="false"/>
          <w:color w:val="334155"/>
          <w:sz w:val="22"/>
          <w:szCs w:val="22"/>
        </w:rPr>
        <w:t xml:space="preserve">Medical device companies (monitoring, imaging, lab systems)</w:t>
      </w:r>
    </w:p>
    <w:p>
      <w:pPr>
        <w:pStyle w:val="ListParagraph"/>
        <w:numPr>
          <w:ilvl w:val="0"/>
          <w:numId w:val="2"/>
        </w:numPr>
        <w:spacing w:after="40" w:before="40"/>
      </w:pPr>
      <w:r>
        <w:rPr>
          <w:rFonts w:ascii="Arial" w:cs="Arial" w:eastAsia="Arial" w:hAnsi="Arial"/>
          <w:b w:val="false"/>
          <w:bCs w:val="false"/>
          <w:color w:val="334155"/>
          <w:sz w:val="22"/>
          <w:szCs w:val="22"/>
        </w:rPr>
        <w:t xml:space="preserve">Enterprise software vendors (ERP, CRM, compliance platforms)</w:t>
      </w:r>
    </w:p>
    <w:p>
      <w:pPr>
        <w:pStyle w:val="ListParagraph"/>
        <w:numPr>
          <w:ilvl w:val="0"/>
          <w:numId w:val="2"/>
        </w:numPr>
        <w:spacing w:after="40" w:before="40"/>
      </w:pPr>
      <w:r>
        <w:rPr>
          <w:rFonts w:ascii="Arial" w:cs="Arial" w:eastAsia="Arial" w:hAnsi="Arial"/>
          <w:b w:val="false"/>
          <w:bCs w:val="false"/>
          <w:color w:val="334155"/>
          <w:sz w:val="22"/>
          <w:szCs w:val="22"/>
        </w:rPr>
        <w:t xml:space="preserve">Networking and infrastructure companies (servers, switches, firewalls)</w:t>
      </w:r>
    </w:p>
    <w:p>
      <w:pPr>
        <w:pStyle w:val="ListParagraph"/>
        <w:numPr>
          <w:ilvl w:val="0"/>
          <w:numId w:val="2"/>
        </w:numPr>
        <w:spacing w:after="40" w:before="40"/>
      </w:pPr>
      <w:r>
        <w:rPr>
          <w:rFonts w:ascii="Arial" w:cs="Arial" w:eastAsia="Arial" w:hAnsi="Arial"/>
          <w:b w:val="false"/>
          <w:bCs w:val="false"/>
          <w:color w:val="334155"/>
          <w:sz w:val="22"/>
          <w:szCs w:val="22"/>
        </w:rPr>
        <w:t xml:space="preserve">Scientific instruments (spectroscopy, analytical chemistry equipment)</w:t>
      </w:r>
    </w:p>
    <w:p>
      <w:pPr>
        <w:spacing w:after="120" w:before="0"/>
      </w:pPr>
      <w:r>
        <w:t xml:space="preserve"/>
      </w:r>
    </w:p>
    <w:p>
      <w:pPr>
        <w:spacing w:after="100" w:before="60"/>
      </w:pPr>
      <w:r>
        <w:rPr>
          <w:rFonts w:ascii="Arial" w:cs="Arial" w:eastAsia="Arial" w:hAnsi="Arial"/>
          <w:b w:val="false"/>
          <w:bCs w:val="false"/>
          <w:color w:val="334155"/>
          <w:sz w:val="22"/>
          <w:szCs w:val="22"/>
        </w:rPr>
        <w:t xml:space="preserve">The system is domain-agnostic by design. The knowledge base, classification rules, routing logic, and response tone are fully configurable through the admin dashboard. The same architecture that handles audio guide product inquiries handles CNC machine inquiries. The only thing that changes is the product documentation you upload.</w:t>
      </w:r>
    </w:p>
    <w:p>
      <w:pPr>
        <w:spacing w:after="120" w:before="0"/>
      </w:pPr>
      <w:r>
        <w:t xml:space="preserve"/>
      </w:r>
    </w:p>
    <w:p>
      <w:pPr>
        <w:pStyle w:val="Heading2"/>
        <w:spacing w:after="120" w:before="280"/>
      </w:pPr>
      <w:r>
        <w:rPr>
          <w:rFonts w:ascii="Arial" w:cs="Arial" w:eastAsia="Arial" w:hAnsi="Arial"/>
          <w:b/>
          <w:bCs/>
          <w:color w:val="2563EB"/>
          <w:sz w:val="28"/>
          <w:szCs w:val="28"/>
        </w:rPr>
        <w:t xml:space="preserve">2.4 Who Is NOT the Target</w:t>
      </w:r>
    </w:p>
    <w:p>
      <w:pPr>
        <w:spacing w:after="100" w:before="60"/>
      </w:pPr>
      <w:r>
        <w:rPr>
          <w:rFonts w:ascii="Arial" w:cs="Arial" w:eastAsia="Arial" w:hAnsi="Arial"/>
          <w:b w:val="false"/>
          <w:bCs w:val="false"/>
          <w:color w:val="334155"/>
          <w:sz w:val="22"/>
          <w:szCs w:val="22"/>
        </w:rPr>
        <w:t xml:space="preserve">This is not the right tool for companies selling simple, commodity products where any sales rep can answer any question from memory. If a client asks 'how much does a USB cable cost,' no AI pipeline is needed. The value of Inbox Sales Copilot scales directly with product complexity. The more technical the catalog, the more compatibility rules, the more configuration options, the higher the value.</w:t>
      </w:r>
    </w:p>
    <w:p>
      <w:pPr>
        <w:spacing w:after="240" w:before="0"/>
      </w:pPr>
      <w:r>
        <w:t xml:space="preserve"/>
      </w:r>
    </w:p>
    <w:p>
      <w:pPr>
        <w:pageBreakBefore/>
      </w:pPr>
      <w:r>
        <w:t xml:space="preserve"/>
      </w:r>
    </w:p>
    <w:p>
      <w:pPr>
        <w:pStyle w:val="Heading1"/>
        <w:spacing w:after="160" w:before="360"/>
      </w:pPr>
      <w:r>
        <w:rPr>
          <w:rFonts w:ascii="Arial" w:cs="Arial" w:eastAsia="Arial" w:hAnsi="Arial"/>
          <w:b/>
          <w:bCs/>
          <w:color w:val="1E293B"/>
          <w:sz w:val="36"/>
          <w:szCs w:val="36"/>
        </w:rPr>
        <w:t xml:space="preserve">3. Competitive Landscape</w:t>
      </w:r>
    </w:p>
    <w:p>
      <w:pPr>
        <w:pStyle w:val="Heading2"/>
        <w:spacing w:after="120" w:before="280"/>
      </w:pPr>
      <w:r>
        <w:rPr>
          <w:rFonts w:ascii="Arial" w:cs="Arial" w:eastAsia="Arial" w:hAnsi="Arial"/>
          <w:b/>
          <w:bCs/>
          <w:color w:val="2563EB"/>
          <w:sz w:val="28"/>
          <w:szCs w:val="28"/>
        </w:rPr>
        <w:t xml:space="preserve">3.1 Who Exists Today</w:t>
      </w:r>
    </w:p>
    <w:p>
      <w:pPr>
        <w:spacing w:after="100" w:before="60"/>
      </w:pPr>
      <w:r>
        <w:rPr>
          <w:rFonts w:ascii="Arial" w:cs="Arial" w:eastAsia="Arial" w:hAnsi="Arial"/>
          <w:b w:val="false"/>
          <w:bCs w:val="false"/>
          <w:color w:val="334155"/>
          <w:sz w:val="22"/>
          <w:szCs w:val="22"/>
        </w:rPr>
        <w:t xml:space="preserve">The tools that B2B sales teams currently use fall into four distinct categories. None of them solve the exact problem Inbox Sales Copilot addresses, but each one addresses a related pain point. Understanding where they fail tells you exactly why this project has a chance.</w:t>
      </w:r>
    </w:p>
    <w:p>
      <w:pPr>
        <w:spacing w:after="120" w:before="0"/>
      </w:pPr>
      <w:r>
        <w:t xml:space="preserve"/>
      </w:r>
    </w:p>
    <w:p>
      <w:pPr>
        <w:spacing w:after="80" w:before="220"/>
      </w:pPr>
      <w:r>
        <w:rPr>
          <w:rFonts w:ascii="Arial" w:cs="Arial" w:eastAsia="Arial" w:hAnsi="Arial"/>
          <w:b/>
          <w:bCs/>
          <w:color w:val="1E293B"/>
          <w:sz w:val="24"/>
          <w:szCs w:val="24"/>
        </w:rPr>
        <w:t xml:space="preserve">Category 1: AI Email Inbox Tools</w:t>
      </w:r>
    </w:p>
    <w:p>
      <w:pPr>
        <w:spacing w:after="100" w:before="60"/>
      </w:pPr>
      <w:r>
        <w:rPr>
          <w:rFonts w:ascii="Arial" w:cs="Arial" w:eastAsia="Arial" w:hAnsi="Arial"/>
          <w:b w:val="false"/>
          <w:bCs w:val="false"/>
          <w:color w:val="334155"/>
          <w:sz w:val="22"/>
          <w:szCs w:val="22"/>
        </w:rPr>
        <w:t xml:space="preserve">Products like Superhuman, Shortwave, Microsoft Copilot for Outlook, and Lindy focus on inbox triage. They sort emails, summarize threads, suggest quick replies, and reduce inbox anxiety. They are good at helping someone who gets 200 emails a day manage the volume.</w:t>
      </w:r>
    </w:p>
    <w:p>
      <w:pPr>
        <w:spacing w:after="100" w:before="60"/>
      </w:pPr>
      <w:r>
        <w:rPr>
          <w:rFonts w:ascii="Arial" w:cs="Arial" w:eastAsia="Arial" w:hAnsi="Arial"/>
          <w:b w:val="false"/>
          <w:bCs w:val="false"/>
          <w:color w:val="334155"/>
          <w:sz w:val="22"/>
          <w:szCs w:val="22"/>
        </w:rPr>
        <w:t xml:space="preserve">What they cannot do: They have no concept of your product catalog. They cannot read an email requesting RFID triggering across three floors and know that means the Style model, not the Trend. They draft replies based on writing patterns and tone, not product knowledge. The reply they generate is fluent but technically empty.</w:t>
      </w:r>
    </w:p>
    <w:p>
      <w:pPr>
        <w:spacing w:after="120" w:before="0"/>
      </w:pPr>
      <w:r>
        <w:t xml:space="preserve"/>
      </w:r>
    </w:p>
    <w:p>
      <w:pPr>
        <w:spacing w:after="80" w:before="220"/>
      </w:pPr>
      <w:r>
        <w:rPr>
          <w:rFonts w:ascii="Arial" w:cs="Arial" w:eastAsia="Arial" w:hAnsi="Arial"/>
          <w:b/>
          <w:bCs/>
          <w:color w:val="1E293B"/>
          <w:sz w:val="24"/>
          <w:szCs w:val="24"/>
        </w:rPr>
        <w:t xml:space="preserve">Category 2: AI Sales Outreach Tools</w:t>
      </w:r>
    </w:p>
    <w:p>
      <w:pPr>
        <w:spacing w:after="100" w:before="60"/>
      </w:pPr>
      <w:r>
        <w:rPr>
          <w:rFonts w:ascii="Arial" w:cs="Arial" w:eastAsia="Arial" w:hAnsi="Arial"/>
          <w:b w:val="false"/>
          <w:bCs w:val="false"/>
          <w:color w:val="334155"/>
          <w:sz w:val="22"/>
          <w:szCs w:val="22"/>
        </w:rPr>
        <w:t xml:space="preserve">Products like Apollo.io, Reply.io, Instantly, Salesforge, Outreach, and Salesloft are built for outbound sales. They help sales teams find leads, write cold emails, run follow-up sequences, and track engagement. They are designed for the motion of 'I am reaching out to you.'</w:t>
      </w:r>
    </w:p>
    <w:p>
      <w:pPr>
        <w:spacing w:after="100" w:before="60"/>
      </w:pPr>
      <w:r>
        <w:rPr>
          <w:rFonts w:ascii="Arial" w:cs="Arial" w:eastAsia="Arial" w:hAnsi="Arial"/>
          <w:b w:val="false"/>
          <w:bCs w:val="false"/>
          <w:color w:val="334155"/>
          <w:sz w:val="22"/>
          <w:szCs w:val="22"/>
        </w:rPr>
        <w:t xml:space="preserve">What they cannot do: Nothing. They are not designed for inbound. When a client emails your inbox asking about your products, these tools have zero functionality to offer. The problem Inbox Sales Copilot solves is the exact opposite of what these tools address.</w:t>
      </w:r>
    </w:p>
    <w:p>
      <w:pPr>
        <w:spacing w:after="120" w:before="0"/>
      </w:pPr>
      <w:r>
        <w:t xml:space="preserve"/>
      </w:r>
    </w:p>
    <w:p>
      <w:pPr>
        <w:spacing w:after="80" w:before="220"/>
      </w:pPr>
      <w:r>
        <w:rPr>
          <w:rFonts w:ascii="Arial" w:cs="Arial" w:eastAsia="Arial" w:hAnsi="Arial"/>
          <w:b/>
          <w:bCs/>
          <w:color w:val="1E293B"/>
          <w:sz w:val="24"/>
          <w:szCs w:val="24"/>
        </w:rPr>
        <w:t xml:space="preserve">Category 3: CRM Platforms</w:t>
      </w:r>
    </w:p>
    <w:p>
      <w:pPr>
        <w:spacing w:after="100" w:before="60"/>
      </w:pPr>
      <w:r>
        <w:rPr>
          <w:rFonts w:ascii="Arial" w:cs="Arial" w:eastAsia="Arial" w:hAnsi="Arial"/>
          <w:b w:val="false"/>
          <w:bCs w:val="false"/>
          <w:color w:val="334155"/>
          <w:sz w:val="22"/>
          <w:szCs w:val="22"/>
        </w:rPr>
        <w:t xml:space="preserve">HubSpot Breeze, Salesforce Einstein, and Pipedrive offer AI features inside their CRM interfaces. HubSpot can suggest follow-up emails and summarize deal notes. Salesforce Einstein can score leads and recommend next actions. Both have invested heavily in AI and will continue to do so.</w:t>
      </w:r>
    </w:p>
    <w:p>
      <w:pPr>
        <w:spacing w:after="100" w:before="60"/>
      </w:pPr>
      <w:r>
        <w:rPr>
          <w:rFonts w:ascii="Arial" w:cs="Arial" w:eastAsia="Arial" w:hAnsi="Arial"/>
          <w:b w:val="false"/>
          <w:bCs w:val="false"/>
          <w:color w:val="334155"/>
          <w:sz w:val="22"/>
          <w:szCs w:val="22"/>
        </w:rPr>
        <w:t xml:space="preserve">What they cannot do: They operate inside the CRM, not inside the inbox. The engineer still has to read the email, decide what to recommend, write the reply, and then manually log it in the CRM. The AI assistance is on the CRM side of the workflow. Inbox Sales Copilot operates on the email side and then updates the CRM as a side effect, without any human touching HubSpot.</w:t>
      </w:r>
    </w:p>
    <w:p>
      <w:pPr>
        <w:spacing w:after="120" w:before="0"/>
      </w:pPr>
      <w:r>
        <w:t xml:space="preserve"/>
      </w:r>
    </w:p>
    <w:p>
      <w:pPr>
        <w:spacing w:after="80" w:before="220"/>
      </w:pPr>
      <w:r>
        <w:rPr>
          <w:rFonts w:ascii="Arial" w:cs="Arial" w:eastAsia="Arial" w:hAnsi="Arial"/>
          <w:b/>
          <w:bCs/>
          <w:color w:val="1E293B"/>
          <w:sz w:val="24"/>
          <w:szCs w:val="24"/>
        </w:rPr>
        <w:t xml:space="preserve">Category 4: Product Configurators and Recommendation Engines</w:t>
      </w:r>
    </w:p>
    <w:p>
      <w:pPr>
        <w:spacing w:after="100" w:before="60"/>
      </w:pPr>
      <w:r>
        <w:rPr>
          <w:rFonts w:ascii="Arial" w:cs="Arial" w:eastAsia="Arial" w:hAnsi="Arial"/>
          <w:b w:val="false"/>
          <w:bCs w:val="false"/>
          <w:color w:val="334155"/>
          <w:sz w:val="22"/>
          <w:szCs w:val="22"/>
        </w:rPr>
        <w:t xml:space="preserve">Tools like eXalt Knowledge Bots and Dynamic Yield provide product recommendation engines for B2B websites. These are typically website widgets or guided selling tools that help a buyer navigate a complex catalog on your website.</w:t>
      </w:r>
    </w:p>
    <w:p>
      <w:pPr>
        <w:spacing w:after="100" w:before="60"/>
      </w:pPr>
      <w:r>
        <w:rPr>
          <w:rFonts w:ascii="Arial" w:cs="Arial" w:eastAsia="Arial" w:hAnsi="Arial"/>
          <w:b w:val="false"/>
          <w:bCs w:val="false"/>
          <w:color w:val="334155"/>
          <w:sz w:val="22"/>
          <w:szCs w:val="22"/>
        </w:rPr>
        <w:t xml:space="preserve">What they cannot do: They operate on websites, not in email. They require the buyer to come to your website and interact with the tool. They do nothing for the email that already arrived in your inbox. Additionally, they require the sales engineer to take the client's email, go to the configurator, input the requirements, get a recommendation, and go back to email to write the reply. Inbox Sales Copilot eliminates all of that manual translation.</w:t>
      </w:r>
    </w:p>
    <w:p>
      <w:pPr>
        <w:spacing w:after="240" w:before="0"/>
      </w:pPr>
      <w:r>
        <w:t xml:space="preserve"/>
      </w:r>
    </w:p>
    <w:p>
      <w:pPr>
        <w:pStyle w:val="Heading2"/>
        <w:spacing w:after="120" w:before="280"/>
      </w:pPr>
      <w:r>
        <w:rPr>
          <w:rFonts w:ascii="Arial" w:cs="Arial" w:eastAsia="Arial" w:hAnsi="Arial"/>
          <w:b/>
          <w:bCs/>
          <w:color w:val="2563EB"/>
          <w:sz w:val="28"/>
          <w:szCs w:val="28"/>
        </w:rPr>
        <w:t xml:space="preserve">3.2 The Gap Nobody Has Filled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600"/>
        <w:gridCol w:w="1480"/>
        <w:gridCol w:w="1480"/>
      </w:tblGrid>
      <w:tr>
        <w:trPr>
          <w:tblHeader/>
        </w:trPr>
        <w:tc>
          <w:tcPr>
            <w:tcW w:type="dxa" w:w="2600"/>
            <w:tcBorders>
              <w:top w:val="single" w:color="1E3A5F" w:sz="8"/>
              <w:left w:val="single" w:color="1E3A5F" w:sz="8"/>
              <w:bottom w:val="single" w:color="1E3A5F" w:sz="8"/>
              <w:right w:val="single" w:color="1E3A5F" w:sz="8"/>
            </w:tcBorders>
            <w:shd w:fill="1E293B" w:val="clear"/>
            <w:tcMar>
              <w:top w:type="dxa" w:w="100"/>
              <w:left w:type="dxa" w:w="140"/>
              <w:bottom w:type="dxa" w:w="100"/>
              <w:right w:type="dxa" w:w="100"/>
            </w:tcMar>
          </w:tcPr>
          <w:p>
            <w:r>
              <w:rPr>
                <w:rFonts w:ascii="Arial" w:cs="Arial" w:eastAsia="Arial" w:hAnsi="Arial"/>
                <w:b/>
                <w:bCs/>
                <w:color w:val="FFFFFF"/>
                <w:sz w:val="20"/>
                <w:szCs w:val="20"/>
              </w:rPr>
              <w:t xml:space="preserve">Tool</w:t>
            </w:r>
          </w:p>
        </w:tc>
        <w:tc>
          <w:tcPr>
            <w:tcW w:type="dxa" w:w="2200"/>
            <w:tcBorders>
              <w:top w:val="single" w:color="1E3A5F" w:sz="8"/>
              <w:left w:val="single" w:color="1E3A5F" w:sz="8"/>
              <w:bottom w:val="single" w:color="1E3A5F" w:sz="8"/>
              <w:right w:val="single" w:color="1E3A5F" w:sz="8"/>
            </w:tcBorders>
            <w:shd w:fill="1E293B" w:val="clear"/>
            <w:tcMar>
              <w:top w:type="dxa" w:w="100"/>
              <w:left w:type="dxa" w:w="140"/>
              <w:bottom w:type="dxa" w:w="100"/>
              <w:right w:type="dxa" w:w="100"/>
            </w:tcMar>
          </w:tcPr>
          <w:p>
            <w:r>
              <w:rPr>
                <w:rFonts w:ascii="Arial" w:cs="Arial" w:eastAsia="Arial" w:hAnsi="Arial"/>
                <w:b/>
                <w:bCs/>
                <w:color w:val="FFFFFF"/>
                <w:sz w:val="20"/>
                <w:szCs w:val="20"/>
              </w:rPr>
              <w:t xml:space="preserve">Handles Inbound Email</w:t>
            </w:r>
          </w:p>
        </w:tc>
        <w:tc>
          <w:tcPr>
            <w:tcW w:type="dxa" w:w="1600"/>
            <w:tcBorders>
              <w:top w:val="single" w:color="1E3A5F" w:sz="8"/>
              <w:left w:val="single" w:color="1E3A5F" w:sz="8"/>
              <w:bottom w:val="single" w:color="1E3A5F" w:sz="8"/>
              <w:right w:val="single" w:color="1E3A5F" w:sz="8"/>
            </w:tcBorders>
            <w:shd w:fill="1E293B" w:val="clear"/>
            <w:tcMar>
              <w:top w:type="dxa" w:w="100"/>
              <w:left w:type="dxa" w:w="140"/>
              <w:bottom w:type="dxa" w:w="100"/>
              <w:right w:type="dxa" w:w="100"/>
            </w:tcMar>
          </w:tcPr>
          <w:p>
            <w:r>
              <w:rPr>
                <w:rFonts w:ascii="Arial" w:cs="Arial" w:eastAsia="Arial" w:hAnsi="Arial"/>
                <w:b/>
                <w:bCs/>
                <w:color w:val="FFFFFF"/>
                <w:sz w:val="20"/>
                <w:szCs w:val="20"/>
              </w:rPr>
              <w:t xml:space="preserve">Product Matching</w:t>
            </w:r>
          </w:p>
        </w:tc>
        <w:tc>
          <w:tcPr>
            <w:tcW w:type="dxa" w:w="1480"/>
            <w:tcBorders>
              <w:top w:val="single" w:color="1E3A5F" w:sz="8"/>
              <w:left w:val="single" w:color="1E3A5F" w:sz="8"/>
              <w:bottom w:val="single" w:color="1E3A5F" w:sz="8"/>
              <w:right w:val="single" w:color="1E3A5F" w:sz="8"/>
            </w:tcBorders>
            <w:shd w:fill="1E293B" w:val="clear"/>
            <w:tcMar>
              <w:top w:type="dxa" w:w="100"/>
              <w:left w:type="dxa" w:w="140"/>
              <w:bottom w:type="dxa" w:w="100"/>
              <w:right w:type="dxa" w:w="100"/>
            </w:tcMar>
          </w:tcPr>
          <w:p>
            <w:r>
              <w:rPr>
                <w:rFonts w:ascii="Arial" w:cs="Arial" w:eastAsia="Arial" w:hAnsi="Arial"/>
                <w:b/>
                <w:bCs/>
                <w:color w:val="FFFFFF"/>
                <w:sz w:val="20"/>
                <w:szCs w:val="20"/>
              </w:rPr>
              <w:t xml:space="preserve">Auto CRM Sync</w:t>
            </w:r>
          </w:p>
        </w:tc>
        <w:tc>
          <w:tcPr>
            <w:tcW w:type="dxa" w:w="1480"/>
            <w:tcBorders>
              <w:top w:val="single" w:color="1E3A5F" w:sz="8"/>
              <w:left w:val="single" w:color="1E3A5F" w:sz="8"/>
              <w:bottom w:val="single" w:color="1E3A5F" w:sz="8"/>
              <w:right w:val="single" w:color="1E3A5F" w:sz="8"/>
            </w:tcBorders>
            <w:shd w:fill="1E293B" w:val="clear"/>
            <w:tcMar>
              <w:top w:type="dxa" w:w="100"/>
              <w:left w:type="dxa" w:w="140"/>
              <w:bottom w:type="dxa" w:w="100"/>
              <w:right w:type="dxa" w:w="100"/>
            </w:tcMar>
          </w:tcPr>
          <w:p>
            <w:r>
              <w:rPr>
                <w:rFonts w:ascii="Arial" w:cs="Arial" w:eastAsia="Arial" w:hAnsi="Arial"/>
                <w:b/>
                <w:bCs/>
                <w:color w:val="FFFFFF"/>
                <w:sz w:val="20"/>
                <w:szCs w:val="20"/>
              </w:rPr>
              <w:t xml:space="preserve">Knowledge Base</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Superhuman / Copilot</w:t>
            </w:r>
          </w:p>
        </w:tc>
        <w:tc>
          <w:tcPr>
            <w:tcW w:type="dxa" w:w="2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Yes — sort and summarize</w:t>
            </w:r>
          </w:p>
        </w:tc>
        <w:tc>
          <w:tcPr>
            <w:tcW w:type="dxa" w:w="1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No</w:t>
            </w:r>
          </w:p>
        </w:tc>
        <w:tc>
          <w:tcPr>
            <w:tcW w:type="dxa" w:w="148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No</w:t>
            </w:r>
          </w:p>
        </w:tc>
        <w:tc>
          <w:tcPr>
            <w:tcW w:type="dxa" w:w="148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No</w:t>
            </w:r>
          </w:p>
        </w:tc>
      </w:tr>
      <w:tr>
        <w:tc>
          <w:tcPr>
            <w:tcW w:type="dxa" w:w="26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Apollo / Reply.io</w:t>
            </w:r>
          </w:p>
        </w:tc>
        <w:tc>
          <w:tcPr>
            <w:tcW w:type="dxa" w:w="2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No — outbound only</w:t>
            </w:r>
          </w:p>
        </w:tc>
        <w:tc>
          <w:tcPr>
            <w:tcW w:type="dxa" w:w="16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No</w:t>
            </w:r>
          </w:p>
        </w:tc>
        <w:tc>
          <w:tcPr>
            <w:tcW w:type="dxa" w:w="148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Partial</w:t>
            </w:r>
          </w:p>
        </w:tc>
        <w:tc>
          <w:tcPr>
            <w:tcW w:type="dxa" w:w="148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No</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HubSpot Breeze</w:t>
            </w:r>
          </w:p>
        </w:tc>
        <w:tc>
          <w:tcPr>
            <w:tcW w:type="dxa" w:w="2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No — CRM-side only</w:t>
            </w:r>
          </w:p>
        </w:tc>
        <w:tc>
          <w:tcPr>
            <w:tcW w:type="dxa" w:w="1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No</w:t>
            </w:r>
          </w:p>
        </w:tc>
        <w:tc>
          <w:tcPr>
            <w:tcW w:type="dxa" w:w="148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Built-in</w:t>
            </w:r>
          </w:p>
        </w:tc>
        <w:tc>
          <w:tcPr>
            <w:tcW w:type="dxa" w:w="148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No</w:t>
            </w:r>
          </w:p>
        </w:tc>
      </w:tr>
      <w:tr>
        <w:tc>
          <w:tcPr>
            <w:tcW w:type="dxa" w:w="26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eXalt / Configurators</w:t>
            </w:r>
          </w:p>
        </w:tc>
        <w:tc>
          <w:tcPr>
            <w:tcW w:type="dxa" w:w="2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No — website only</w:t>
            </w:r>
          </w:p>
        </w:tc>
        <w:tc>
          <w:tcPr>
            <w:tcW w:type="dxa" w:w="16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Yes</w:t>
            </w:r>
          </w:p>
        </w:tc>
        <w:tc>
          <w:tcPr>
            <w:tcW w:type="dxa" w:w="148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No</w:t>
            </w:r>
          </w:p>
        </w:tc>
        <w:tc>
          <w:tcPr>
            <w:tcW w:type="dxa" w:w="148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Yes</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Inbox Sales Copilot</w:t>
            </w:r>
          </w:p>
        </w:tc>
        <w:tc>
          <w:tcPr>
            <w:tcW w:type="dxa" w:w="2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Yes — full pipeline</w:t>
            </w:r>
          </w:p>
        </w:tc>
        <w:tc>
          <w:tcPr>
            <w:tcW w:type="dxa" w:w="1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Yes</w:t>
            </w:r>
          </w:p>
        </w:tc>
        <w:tc>
          <w:tcPr>
            <w:tcW w:type="dxa" w:w="148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Yes</w:t>
            </w:r>
          </w:p>
        </w:tc>
        <w:tc>
          <w:tcPr>
            <w:tcW w:type="dxa" w:w="148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Yes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single" w:color="2563EB" w:sz="8"/>
              <w:bottom w:val="single" w:color="2563EB" w:sz="8"/>
              <w:right w:val="single" w:color="2563EB" w:sz="8"/>
            </w:tcBorders>
            <w:shd w:fill="FEF3C7" w:val="clear"/>
            <w:tcMar>
              <w:top w:type="dxa" w:w="160"/>
              <w:left w:type="dxa" w:w="200"/>
              <w:bottom w:type="dxa" w:w="160"/>
              <w:right w:type="dxa" w:w="200"/>
            </w:tcMar>
          </w:tcPr>
          <w:p>
            <w:pPr>
              <w:spacing w:after="60" w:before="0"/>
            </w:pPr>
            <w:r>
              <w:rPr>
                <w:rFonts w:ascii="Arial" w:cs="Arial" w:eastAsia="Arial" w:hAnsi="Arial"/>
                <w:b/>
                <w:bCs/>
                <w:color w:val="D97706"/>
                <w:sz w:val="22"/>
                <w:szCs w:val="22"/>
              </w:rPr>
              <w:t xml:space="preserve">Why This Gap Exists</w:t>
            </w:r>
          </w:p>
          <w:p>
            <w:pPr>
              <w:spacing w:after="0" w:before="0"/>
            </w:pPr>
            <w:r>
              <w:rPr>
                <w:rFonts w:ascii="Arial" w:cs="Arial" w:eastAsia="Arial" w:hAnsi="Arial"/>
                <w:color w:val="1E293B"/>
                <w:sz w:val="22"/>
                <w:szCs w:val="22"/>
              </w:rPr>
              <w:t xml:space="preserve">Building a product recommendation engine that operates inside email requires four things simultaneously: Gmail API integration, a product knowledge base with RAG retrieval, an AI agent pipeline to reason about requirements, and CRM sync. No single existing tool combines all four. The outbound tools ignore inbound. The CRM tools ignore the inbox. The recommendation engines ignore email entirely. That is the gap this project fills.</w:t>
            </w:r>
          </w:p>
        </w:tc>
      </w:tr>
    </w:tbl>
    <w:p>
      <w:pPr>
        <w:spacing w:after="240" w:before="0"/>
      </w:pPr>
      <w:r>
        <w:t xml:space="preserve"/>
      </w:r>
    </w:p>
    <w:p>
      <w:pPr>
        <w:pageBreakBefore/>
      </w:pPr>
      <w:r>
        <w:t xml:space="preserve"/>
      </w:r>
    </w:p>
    <w:p>
      <w:pPr>
        <w:pStyle w:val="Heading1"/>
        <w:spacing w:after="160" w:before="360"/>
      </w:pPr>
      <w:r>
        <w:rPr>
          <w:rFonts w:ascii="Arial" w:cs="Arial" w:eastAsia="Arial" w:hAnsi="Arial"/>
          <w:b/>
          <w:bCs/>
          <w:color w:val="1E293B"/>
          <w:sz w:val="36"/>
          <w:szCs w:val="36"/>
        </w:rPr>
        <w:t xml:space="preserve">4. Product Description</w:t>
      </w:r>
    </w:p>
    <w:p>
      <w:pPr>
        <w:pStyle w:val="Heading2"/>
        <w:spacing w:after="120" w:before="280"/>
      </w:pPr>
      <w:r>
        <w:rPr>
          <w:rFonts w:ascii="Arial" w:cs="Arial" w:eastAsia="Arial" w:hAnsi="Arial"/>
          <w:b/>
          <w:bCs/>
          <w:color w:val="2563EB"/>
          <w:sz w:val="28"/>
          <w:szCs w:val="28"/>
        </w:rPr>
        <w:t xml:space="preserve">4.1 What It Is</w:t>
      </w:r>
    </w:p>
    <w:p>
      <w:pPr>
        <w:spacing w:after="100" w:before="60"/>
      </w:pPr>
      <w:r>
        <w:rPr>
          <w:rFonts w:ascii="Arial" w:cs="Arial" w:eastAsia="Arial" w:hAnsi="Arial"/>
          <w:b w:val="false"/>
          <w:bCs w:val="false"/>
          <w:color w:val="334155"/>
          <w:sz w:val="22"/>
          <w:szCs w:val="22"/>
        </w:rPr>
        <w:t xml:space="preserve">Inbox Sales Copilot is a full-stack AI system with three layers. The first layer is the AI engine: a five-agent pipeline that reads emails, classifies them, extracts requirements, searches the product knowledge base, and composes draft replies. The second layer is a Gmail Add-on plugin, which shows the engineer the AI's analysis in a sidebar inside Gmail. The third layer is a React admin dashboard, which lets managers configure the system, manage the knowledge base, and monitor performance.</w:t>
      </w:r>
    </w:p>
    <w:p>
      <w:pPr>
        <w:spacing w:after="100" w:before="60"/>
      </w:pPr>
      <w:r>
        <w:rPr>
          <w:rFonts w:ascii="Arial" w:cs="Arial" w:eastAsia="Arial" w:hAnsi="Arial"/>
          <w:b w:val="false"/>
          <w:bCs w:val="false"/>
          <w:color w:val="334155"/>
          <w:sz w:val="22"/>
          <w:szCs w:val="22"/>
        </w:rPr>
        <w:t xml:space="preserve">The system also maintains a client context store in MongoDB that remembers every interaction, and integrates with HubSpot CRM to automatically create contacts, update deal stages, and log interaction notes after every processed email.</w:t>
      </w:r>
    </w:p>
    <w:p>
      <w:pPr>
        <w:spacing w:after="120" w:before="0"/>
      </w:pPr>
      <w:r>
        <w:t xml:space="preserve"/>
      </w:r>
    </w:p>
    <w:p>
      <w:pPr>
        <w:pStyle w:val="Heading2"/>
        <w:spacing w:after="120" w:before="280"/>
      </w:pPr>
      <w:r>
        <w:rPr>
          <w:rFonts w:ascii="Arial" w:cs="Arial" w:eastAsia="Arial" w:hAnsi="Arial"/>
          <w:b/>
          <w:bCs/>
          <w:color w:val="2563EB"/>
          <w:sz w:val="28"/>
          <w:szCs w:val="28"/>
        </w:rPr>
        <w:t xml:space="preserve">4.2 How It Handles Different Email Types</w:t>
      </w:r>
    </w:p>
    <w:p>
      <w:pPr>
        <w:spacing w:after="100" w:before="60"/>
      </w:pPr>
      <w:r>
        <w:rPr>
          <w:rFonts w:ascii="Arial" w:cs="Arial" w:eastAsia="Arial" w:hAnsi="Arial"/>
          <w:b w:val="false"/>
          <w:bCs w:val="false"/>
          <w:color w:val="334155"/>
          <w:sz w:val="22"/>
          <w:szCs w:val="22"/>
        </w:rPr>
        <w:t xml:space="preserve">Not every email gets the same treatment. The system classifies each email into one of five types and handles each differently.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rPr>
          <w:tblHeader/>
        </w:trPr>
        <w:tc>
          <w:tcPr>
            <w:tcW w:type="dxa" w:w="2000"/>
            <w:tcBorders>
              <w:top w:val="single" w:color="1E3A5F" w:sz="8"/>
              <w:left w:val="single" w:color="1E3A5F" w:sz="8"/>
              <w:bottom w:val="single" w:color="1E3A5F" w:sz="8"/>
              <w:right w:val="single" w:color="1E3A5F" w:sz="8"/>
            </w:tcBorders>
            <w:shd w:fill="1E293B" w:val="clear"/>
            <w:tcMar>
              <w:top w:type="dxa" w:w="100"/>
              <w:left w:type="dxa" w:w="140"/>
              <w:bottom w:type="dxa" w:w="100"/>
              <w:right w:type="dxa" w:w="100"/>
            </w:tcMar>
          </w:tcPr>
          <w:p>
            <w:r>
              <w:rPr>
                <w:rFonts w:ascii="Arial" w:cs="Arial" w:eastAsia="Arial" w:hAnsi="Arial"/>
                <w:b/>
                <w:bCs/>
                <w:color w:val="FFFFFF"/>
                <w:sz w:val="20"/>
                <w:szCs w:val="20"/>
              </w:rPr>
              <w:t xml:space="preserve">Email Type</w:t>
            </w:r>
          </w:p>
        </w:tc>
        <w:tc>
          <w:tcPr>
            <w:tcW w:type="dxa" w:w="5000"/>
            <w:tcBorders>
              <w:top w:val="single" w:color="1E3A5F" w:sz="8"/>
              <w:left w:val="single" w:color="1E3A5F" w:sz="8"/>
              <w:bottom w:val="single" w:color="1E3A5F" w:sz="8"/>
              <w:right w:val="single" w:color="1E3A5F" w:sz="8"/>
            </w:tcBorders>
            <w:shd w:fill="1E293B" w:val="clear"/>
            <w:tcMar>
              <w:top w:type="dxa" w:w="100"/>
              <w:left w:type="dxa" w:w="140"/>
              <w:bottom w:type="dxa" w:w="100"/>
              <w:right w:type="dxa" w:w="100"/>
            </w:tcMar>
          </w:tcPr>
          <w:p>
            <w:r>
              <w:rPr>
                <w:rFonts w:ascii="Arial" w:cs="Arial" w:eastAsia="Arial" w:hAnsi="Arial"/>
                <w:b/>
                <w:bCs/>
                <w:color w:val="FFFFFF"/>
                <w:sz w:val="20"/>
                <w:szCs w:val="20"/>
              </w:rPr>
              <w:t xml:space="preserve">What the AI Does</w:t>
            </w:r>
          </w:p>
        </w:tc>
        <w:tc>
          <w:tcPr>
            <w:tcW w:type="dxa" w:w="2360"/>
            <w:tcBorders>
              <w:top w:val="single" w:color="1E3A5F" w:sz="8"/>
              <w:left w:val="single" w:color="1E3A5F" w:sz="8"/>
              <w:bottom w:val="single" w:color="1E3A5F" w:sz="8"/>
              <w:right w:val="single" w:color="1E3A5F" w:sz="8"/>
            </w:tcBorders>
            <w:shd w:fill="1E293B" w:val="clear"/>
            <w:tcMar>
              <w:top w:type="dxa" w:w="100"/>
              <w:left w:type="dxa" w:w="140"/>
              <w:bottom w:type="dxa" w:w="100"/>
              <w:right w:type="dxa" w:w="100"/>
            </w:tcMar>
          </w:tcPr>
          <w:p>
            <w:r>
              <w:rPr>
                <w:rFonts w:ascii="Arial" w:cs="Arial" w:eastAsia="Arial" w:hAnsi="Arial"/>
                <w:b/>
                <w:bCs/>
                <w:color w:val="FFFFFF"/>
                <w:sz w:val="20"/>
                <w:szCs w:val="20"/>
              </w:rPr>
              <w:t xml:space="preserve">Depth</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Product Inquiry</w:t>
            </w:r>
          </w:p>
        </w:tc>
        <w:tc>
          <w:tcPr>
            <w:tcW w:type="dxa" w:w="5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Extracts requirements, matches against product knowledge base via RAG, composes draft reply, self-checks for hallucinations, delivers based on confidence score.</w:t>
            </w:r>
          </w:p>
        </w:tc>
        <w:tc>
          <w:tcPr>
            <w:tcW w:type="dxa" w:w="2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Full AI Pipeline</w:t>
            </w:r>
          </w:p>
        </w:tc>
      </w:tr>
      <w:tr>
        <w:tc>
          <w:tcPr>
            <w:tcW w:type="dxa" w:w="20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Demo Request</w:t>
            </w:r>
          </w:p>
        </w:tc>
        <w:tc>
          <w:tcPr>
            <w:tcW w:type="dxa" w:w="50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Summarizes what the client needs, drafts a confirmation to the client, forwards to demo team with context, updates CRM.</w:t>
            </w:r>
          </w:p>
        </w:tc>
        <w:tc>
          <w:tcPr>
            <w:tcW w:type="dxa" w:w="23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Smart Forward</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Support or Bug Report</w:t>
            </w:r>
          </w:p>
        </w:tc>
        <w:tc>
          <w:tcPr>
            <w:tcW w:type="dxa" w:w="5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Classifies severity, summarizes the issue, forwards to support team with full context, updates client status.</w:t>
            </w:r>
          </w:p>
        </w:tc>
        <w:tc>
          <w:tcPr>
            <w:tcW w:type="dxa" w:w="2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Smart Forward</w:t>
            </w:r>
          </w:p>
        </w:tc>
      </w:tr>
      <w:tr>
        <w:tc>
          <w:tcPr>
            <w:tcW w:type="dxa" w:w="20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Follow-up or Status Check</w:t>
            </w:r>
          </w:p>
        </w:tc>
        <w:tc>
          <w:tcPr>
            <w:tcW w:type="dxa" w:w="50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Pulls the client's full interaction history from the context store, drafts a status update that references previous conversations.</w:t>
            </w:r>
          </w:p>
        </w:tc>
        <w:tc>
          <w:tcPr>
            <w:tcW w:type="dxa" w:w="23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Context Draft</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Sensitive (Refund, Complaint)</w:t>
            </w:r>
          </w:p>
        </w:tc>
        <w:tc>
          <w:tcPr>
            <w:tcW w:type="dxa" w:w="5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Flags immediately for human handling. Never auto-replies. Forwards to management with AI summary.</w:t>
            </w:r>
          </w:p>
        </w:tc>
        <w:tc>
          <w:tcPr>
            <w:tcW w:type="dxa" w:w="2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Human Only</w:t>
            </w:r>
          </w:p>
        </w:tc>
      </w:tr>
    </w:tbl>
    <w:p>
      <w:pPr>
        <w:spacing w:after="240" w:before="0"/>
      </w:pPr>
      <w:r>
        <w:t xml:space="preserve"/>
      </w:r>
    </w:p>
    <w:p>
      <w:pPr>
        <w:pStyle w:val="Heading2"/>
        <w:spacing w:after="120" w:before="280"/>
      </w:pPr>
      <w:r>
        <w:rPr>
          <w:rFonts w:ascii="Arial" w:cs="Arial" w:eastAsia="Arial" w:hAnsi="Arial"/>
          <w:b/>
          <w:bCs/>
          <w:color w:val="2563EB"/>
          <w:sz w:val="28"/>
          <w:szCs w:val="28"/>
        </w:rPr>
        <w:t xml:space="preserve">4.3 The Five-Agent Pipeline</w:t>
      </w:r>
    </w:p>
    <w:p>
      <w:pPr>
        <w:spacing w:after="100" w:before="60"/>
      </w:pPr>
      <w:r>
        <w:rPr>
          <w:rFonts w:ascii="Arial" w:cs="Arial" w:eastAsia="Arial" w:hAnsi="Arial"/>
          <w:b w:val="false"/>
          <w:bCs w:val="false"/>
          <w:color w:val="334155"/>
          <w:sz w:val="22"/>
          <w:szCs w:val="22"/>
        </w:rPr>
        <w:t xml:space="preserve">For product inquiries, the system runs a pipeline of five specialized AI agents. Each agent does one job and passes its output to the next.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rPr>
          <w:tblHeader/>
        </w:trPr>
        <w:tc>
          <w:tcPr>
            <w:tcW w:type="dxa" w:w="1600"/>
            <w:tcBorders>
              <w:top w:val="single" w:color="1E3A5F" w:sz="8"/>
              <w:left w:val="single" w:color="1E3A5F" w:sz="8"/>
              <w:bottom w:val="single" w:color="1E3A5F" w:sz="8"/>
              <w:right w:val="single" w:color="1E3A5F" w:sz="8"/>
            </w:tcBorders>
            <w:shd w:fill="1E293B" w:val="clear"/>
            <w:tcMar>
              <w:top w:type="dxa" w:w="100"/>
              <w:left w:type="dxa" w:w="140"/>
              <w:bottom w:type="dxa" w:w="100"/>
              <w:right w:type="dxa" w:w="100"/>
            </w:tcMar>
          </w:tcPr>
          <w:p>
            <w:r>
              <w:rPr>
                <w:rFonts w:ascii="Arial" w:cs="Arial" w:eastAsia="Arial" w:hAnsi="Arial"/>
                <w:b/>
                <w:bCs/>
                <w:color w:val="FFFFFF"/>
                <w:sz w:val="20"/>
                <w:szCs w:val="20"/>
              </w:rPr>
              <w:t xml:space="preserve">Agent</w:t>
            </w:r>
          </w:p>
        </w:tc>
        <w:tc>
          <w:tcPr>
            <w:tcW w:type="dxa" w:w="4200"/>
            <w:tcBorders>
              <w:top w:val="single" w:color="1E3A5F" w:sz="8"/>
              <w:left w:val="single" w:color="1E3A5F" w:sz="8"/>
              <w:bottom w:val="single" w:color="1E3A5F" w:sz="8"/>
              <w:right w:val="single" w:color="1E3A5F" w:sz="8"/>
            </w:tcBorders>
            <w:shd w:fill="1E293B" w:val="clear"/>
            <w:tcMar>
              <w:top w:type="dxa" w:w="100"/>
              <w:left w:type="dxa" w:w="140"/>
              <w:bottom w:type="dxa" w:w="100"/>
              <w:right w:type="dxa" w:w="100"/>
            </w:tcMar>
          </w:tcPr>
          <w:p>
            <w:r>
              <w:rPr>
                <w:rFonts w:ascii="Arial" w:cs="Arial" w:eastAsia="Arial" w:hAnsi="Arial"/>
                <w:b/>
                <w:bCs/>
                <w:color w:val="FFFFFF"/>
                <w:sz w:val="20"/>
                <w:szCs w:val="20"/>
              </w:rPr>
              <w:t xml:space="preserve">Job</w:t>
            </w:r>
          </w:p>
        </w:tc>
        <w:tc>
          <w:tcPr>
            <w:tcW w:type="dxa" w:w="3560"/>
            <w:tcBorders>
              <w:top w:val="single" w:color="1E3A5F" w:sz="8"/>
              <w:left w:val="single" w:color="1E3A5F" w:sz="8"/>
              <w:bottom w:val="single" w:color="1E3A5F" w:sz="8"/>
              <w:right w:val="single" w:color="1E3A5F" w:sz="8"/>
            </w:tcBorders>
            <w:shd w:fill="1E293B" w:val="clear"/>
            <w:tcMar>
              <w:top w:type="dxa" w:w="100"/>
              <w:left w:type="dxa" w:w="140"/>
              <w:bottom w:type="dxa" w:w="100"/>
              <w:right w:type="dxa" w:w="100"/>
            </w:tcMar>
          </w:tcPr>
          <w:p>
            <w:r>
              <w:rPr>
                <w:rFonts w:ascii="Arial" w:cs="Arial" w:eastAsia="Arial" w:hAnsi="Arial"/>
                <w:b/>
                <w:bCs/>
                <w:color w:val="FFFFFF"/>
                <w:sz w:val="20"/>
                <w:szCs w:val="20"/>
              </w:rPr>
              <w:t xml:space="preserve">Technology</w:t>
            </w:r>
          </w:p>
        </w:tc>
      </w:tr>
      <w:tr>
        <w:tc>
          <w:tcPr>
            <w:tcW w:type="dxa" w:w="1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Supervisor</w:t>
            </w:r>
          </w:p>
        </w:tc>
        <w:tc>
          <w:tcPr>
            <w:tcW w:type="dxa" w:w="4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Orchestrates the pipeline, scores confidence, decides action (send / draft / escalate)</w:t>
            </w:r>
          </w:p>
        </w:tc>
        <w:tc>
          <w:tcPr>
            <w:tcW w:type="dxa" w:w="3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LangChain.js orchestrator</w:t>
            </w:r>
          </w:p>
        </w:tc>
      </w:tr>
      <w:tr>
        <w:tc>
          <w:tcPr>
            <w:tcW w:type="dxa" w:w="16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Classifier</w:t>
            </w:r>
          </w:p>
        </w:tc>
        <w:tc>
          <w:tcPr>
            <w:tcW w:type="dxa" w:w="4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Reads the email and determines its type (inquiry, demo, support, follow-up, sensitive)</w:t>
            </w:r>
          </w:p>
        </w:tc>
        <w:tc>
          <w:tcPr>
            <w:tcW w:type="dxa" w:w="35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GPT-4o-mini with structured output</w:t>
            </w:r>
          </w:p>
        </w:tc>
      </w:tr>
      <w:tr>
        <w:tc>
          <w:tcPr>
            <w:tcW w:type="dxa" w:w="1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Extractor</w:t>
            </w:r>
          </w:p>
        </w:tc>
        <w:tc>
          <w:tcPr>
            <w:tcW w:type="dxa" w:w="4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Pulls structured requirements from the email as JSON: features needed, constraints, languages, scale, timeline</w:t>
            </w:r>
          </w:p>
        </w:tc>
        <w:tc>
          <w:tcPr>
            <w:tcW w:type="dxa" w:w="3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GPT-4o-mini with function calling</w:t>
            </w:r>
          </w:p>
        </w:tc>
      </w:tr>
      <w:tr>
        <w:tc>
          <w:tcPr>
            <w:tcW w:type="dxa" w:w="16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Matcher</w:t>
            </w:r>
          </w:p>
        </w:tc>
        <w:tc>
          <w:tcPr>
            <w:tcW w:type="dxa" w:w="4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Queries the vector database using hybrid retrieval to find the best-fit product and configuration</w:t>
            </w:r>
          </w:p>
        </w:tc>
        <w:tc>
          <w:tcPr>
            <w:tcW w:type="dxa" w:w="35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RAG pipeline with Pinecone/Chroma</w:t>
            </w:r>
          </w:p>
        </w:tc>
      </w:tr>
      <w:tr>
        <w:tc>
          <w:tcPr>
            <w:tcW w:type="dxa" w:w="1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Composer</w:t>
            </w:r>
          </w:p>
        </w:tc>
        <w:tc>
          <w:tcPr>
            <w:tcW w:type="dxa" w:w="4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Writes the draft reply and then checks its own output against the retrieved documents — if it mentioned a feature that was not in the docs, it regenerates</w:t>
            </w:r>
          </w:p>
        </w:tc>
        <w:tc>
          <w:tcPr>
            <w:tcW w:type="dxa" w:w="3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GPT-4 with self-reflection</w:t>
            </w:r>
          </w:p>
        </w:tc>
      </w:tr>
    </w:tbl>
    <w:p>
      <w:pPr>
        <w:spacing w:after="120" w:before="0"/>
      </w:pPr>
      <w:r>
        <w:t xml:space="preserve"/>
      </w:r>
    </w:p>
    <w:p>
      <w:pPr>
        <w:spacing w:after="100" w:before="60"/>
      </w:pPr>
      <w:r>
        <w:rPr>
          <w:rFonts w:ascii="Arial" w:cs="Arial" w:eastAsia="Arial" w:hAnsi="Arial"/>
          <w:b w:val="false"/>
          <w:bCs w:val="false"/>
          <w:color w:val="334155"/>
          <w:sz w:val="22"/>
          <w:szCs w:val="22"/>
        </w:rPr>
        <w:t xml:space="preserve">The Composer's self-reflection step is important. It is the difference between an AI that confidently says the wrong thing and one that catches its own mistakes. After drafting a reply, the Composer compares every claim it made against the product documents it retrieved. If it wrote that a device 'supports WiFi connectivity' but the spec sheet never mentions WiFi, it flags the inconsistency and rewrites.</w:t>
      </w:r>
    </w:p>
    <w:p>
      <w:pPr>
        <w:spacing w:after="120" w:before="0"/>
      </w:pPr>
      <w:r>
        <w:t xml:space="preserve"/>
      </w:r>
    </w:p>
    <w:p>
      <w:pPr>
        <w:pStyle w:val="Heading2"/>
        <w:spacing w:after="120" w:before="280"/>
      </w:pPr>
      <w:r>
        <w:rPr>
          <w:rFonts w:ascii="Arial" w:cs="Arial" w:eastAsia="Arial" w:hAnsi="Arial"/>
          <w:b/>
          <w:bCs/>
          <w:color w:val="2563EB"/>
          <w:sz w:val="28"/>
          <w:szCs w:val="28"/>
        </w:rPr>
        <w:t xml:space="preserve">4.4 Confidence-Based Delivery</w:t>
      </w:r>
    </w:p>
    <w:p>
      <w:pPr>
        <w:spacing w:after="100" w:before="60"/>
      </w:pPr>
      <w:r>
        <w:rPr>
          <w:rFonts w:ascii="Arial" w:cs="Arial" w:eastAsia="Arial" w:hAnsi="Arial"/>
          <w:b w:val="false"/>
          <w:bCs w:val="false"/>
          <w:color w:val="334155"/>
          <w:sz w:val="22"/>
          <w:szCs w:val="22"/>
        </w:rPr>
        <w:t xml:space="preserve">The Supervisor scores each processed email before deciding what to do with it. The score reflects how confident the system is in its recommendation.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1E3A5F" w:sz="8"/>
              <w:left w:val="single" w:color="1E3A5F" w:sz="8"/>
              <w:bottom w:val="single" w:color="1E3A5F" w:sz="8"/>
              <w:right w:val="single" w:color="1E3A5F" w:sz="8"/>
            </w:tcBorders>
            <w:shd w:fill="1E293B" w:val="clear"/>
            <w:tcMar>
              <w:top w:type="dxa" w:w="100"/>
              <w:left w:type="dxa" w:w="140"/>
              <w:bottom w:type="dxa" w:w="100"/>
              <w:right w:type="dxa" w:w="100"/>
            </w:tcMar>
          </w:tcPr>
          <w:p>
            <w:r>
              <w:rPr>
                <w:rFonts w:ascii="Arial" w:cs="Arial" w:eastAsia="Arial" w:hAnsi="Arial"/>
                <w:b/>
                <w:bCs/>
                <w:color w:val="FFFFFF"/>
                <w:sz w:val="20"/>
                <w:szCs w:val="20"/>
              </w:rPr>
              <w:t xml:space="preserve">Confidence Level</w:t>
            </w:r>
          </w:p>
        </w:tc>
        <w:tc>
          <w:tcPr>
            <w:tcW w:type="dxa" w:w="2800"/>
            <w:tcBorders>
              <w:top w:val="single" w:color="1E3A5F" w:sz="8"/>
              <w:left w:val="single" w:color="1E3A5F" w:sz="8"/>
              <w:bottom w:val="single" w:color="1E3A5F" w:sz="8"/>
              <w:right w:val="single" w:color="1E3A5F" w:sz="8"/>
            </w:tcBorders>
            <w:shd w:fill="1E293B" w:val="clear"/>
            <w:tcMar>
              <w:top w:type="dxa" w:w="100"/>
              <w:left w:type="dxa" w:w="140"/>
              <w:bottom w:type="dxa" w:w="100"/>
              <w:right w:type="dxa" w:w="100"/>
            </w:tcMar>
          </w:tcPr>
          <w:p>
            <w:r>
              <w:rPr>
                <w:rFonts w:ascii="Arial" w:cs="Arial" w:eastAsia="Arial" w:hAnsi="Arial"/>
                <w:b/>
                <w:bCs/>
                <w:color w:val="FFFFFF"/>
                <w:sz w:val="20"/>
                <w:szCs w:val="20"/>
              </w:rPr>
              <w:t xml:space="preserve">Action</w:t>
            </w:r>
          </w:p>
        </w:tc>
        <w:tc>
          <w:tcPr>
            <w:tcW w:type="dxa" w:w="4360"/>
            <w:tcBorders>
              <w:top w:val="single" w:color="1E3A5F" w:sz="8"/>
              <w:left w:val="single" w:color="1E3A5F" w:sz="8"/>
              <w:bottom w:val="single" w:color="1E3A5F" w:sz="8"/>
              <w:right w:val="single" w:color="1E3A5F" w:sz="8"/>
            </w:tcBorders>
            <w:shd w:fill="1E293B" w:val="clear"/>
            <w:tcMar>
              <w:top w:type="dxa" w:w="100"/>
              <w:left w:type="dxa" w:w="140"/>
              <w:bottom w:type="dxa" w:w="100"/>
              <w:right w:type="dxa" w:w="100"/>
            </w:tcMar>
          </w:tcPr>
          <w:p>
            <w:r>
              <w:rPr>
                <w:rFonts w:ascii="Arial" w:cs="Arial" w:eastAsia="Arial" w:hAnsi="Arial"/>
                <w:b/>
                <w:bCs/>
                <w:color w:val="FFFFFF"/>
                <w:sz w:val="20"/>
                <w:szCs w:val="20"/>
              </w:rPr>
              <w:t xml:space="preserve">When This Happens</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High (above 85%)</w:t>
            </w:r>
          </w:p>
        </w:tc>
        <w:tc>
          <w:tcPr>
            <w:tcW w:type="dxa" w:w="2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Auto-send the reply</w:t>
            </w:r>
          </w:p>
        </w:tc>
        <w:tc>
          <w:tcPr>
            <w:tcW w:type="dxa" w:w="4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Requirements are clear and a strong product match exists in the knowledge base</w:t>
            </w:r>
          </w:p>
        </w:tc>
      </w:tr>
      <w:tr>
        <w:tc>
          <w:tcPr>
            <w:tcW w:type="dxa" w:w="2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Medium (60-85%)</w:t>
            </w:r>
          </w:p>
        </w:tc>
        <w:tc>
          <w:tcPr>
            <w:tcW w:type="dxa" w:w="28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Save as draft for engineer review</w:t>
            </w:r>
          </w:p>
        </w:tc>
        <w:tc>
          <w:tcPr>
            <w:tcW w:type="dxa" w:w="43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Requirements are partially ambiguous or multiple products could fit</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Low (below 60%)</w:t>
            </w:r>
          </w:p>
        </w:tc>
        <w:tc>
          <w:tcPr>
            <w:tcW w:type="dxa" w:w="2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Flag for human and explain why</w:t>
            </w:r>
          </w:p>
        </w:tc>
        <w:tc>
          <w:tcPr>
            <w:tcW w:type="dxa" w:w="4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No clear match, unusual request, or adversarial input detected</w:t>
            </w:r>
          </w:p>
        </w:tc>
      </w:tr>
    </w:tbl>
    <w:p>
      <w:pPr>
        <w:spacing w:after="240" w:before="0"/>
      </w:pPr>
      <w:r>
        <w:t xml:space="preserve"/>
      </w:r>
    </w:p>
    <w:p>
      <w:pPr>
        <w:pStyle w:val="Heading2"/>
        <w:spacing w:after="120" w:before="280"/>
      </w:pPr>
      <w:r>
        <w:rPr>
          <w:rFonts w:ascii="Arial" w:cs="Arial" w:eastAsia="Arial" w:hAnsi="Arial"/>
          <w:b/>
          <w:bCs/>
          <w:color w:val="2563EB"/>
          <w:sz w:val="28"/>
          <w:szCs w:val="28"/>
        </w:rPr>
        <w:t xml:space="preserve">4.5 The Two User Interfaces</w:t>
      </w:r>
    </w:p>
    <w:p>
      <w:pPr>
        <w:spacing w:after="80" w:before="220"/>
      </w:pPr>
      <w:r>
        <w:rPr>
          <w:rFonts w:ascii="Arial" w:cs="Arial" w:eastAsia="Arial" w:hAnsi="Arial"/>
          <w:b/>
          <w:bCs/>
          <w:color w:val="1E293B"/>
          <w:sz w:val="24"/>
          <w:szCs w:val="24"/>
        </w:rPr>
        <w:t xml:space="preserve">Gmail Add-on Plugin</w:t>
      </w:r>
    </w:p>
    <w:p>
      <w:pPr>
        <w:spacing w:after="100" w:before="60"/>
      </w:pPr>
      <w:r>
        <w:rPr>
          <w:rFonts w:ascii="Arial" w:cs="Arial" w:eastAsia="Arial" w:hAnsi="Arial"/>
          <w:b w:val="false"/>
          <w:bCs w:val="false"/>
          <w:color w:val="334155"/>
          <w:sz w:val="22"/>
          <w:szCs w:val="22"/>
        </w:rPr>
        <w:t xml:space="preserve">This is the sales engineer's daily interface. It appears as a sidebar inside Gmail when they open any client email. It shows the AI's classification of the email, the confidence score, a summary of the client's interaction history (if they are a returning contact), the structured requirements the AI extracted, the recommended product with an explanation, and the AI-drafted reply. The engineer clicks Send, Edit, or Skip. They never leave Gmail.</w:t>
      </w:r>
    </w:p>
    <w:p>
      <w:pPr>
        <w:spacing w:after="120" w:before="0"/>
      </w:pPr>
      <w:r>
        <w:t xml:space="preserve"/>
      </w:r>
    </w:p>
    <w:p>
      <w:pPr>
        <w:spacing w:after="80" w:before="220"/>
      </w:pPr>
      <w:r>
        <w:rPr>
          <w:rFonts w:ascii="Arial" w:cs="Arial" w:eastAsia="Arial" w:hAnsi="Arial"/>
          <w:b/>
          <w:bCs/>
          <w:color w:val="1E293B"/>
          <w:sz w:val="24"/>
          <w:szCs w:val="24"/>
        </w:rPr>
        <w:t xml:space="preserve">Admin Dashboard</w:t>
      </w:r>
    </w:p>
    <w:p>
      <w:pPr>
        <w:spacing w:after="100" w:before="60"/>
      </w:pPr>
      <w:r>
        <w:rPr>
          <w:rFonts w:ascii="Arial" w:cs="Arial" w:eastAsia="Arial" w:hAnsi="Arial"/>
          <w:b w:val="false"/>
          <w:bCs w:val="false"/>
          <w:color w:val="334155"/>
          <w:sz w:val="22"/>
          <w:szCs w:val="22"/>
        </w:rPr>
        <w:t xml:space="preserve">This is the manager's interface. It is a React web app with four pages. The setup page lets an admin connect a Gmail account via OAuth and upload product documentation to the knowledge base. The activity feed shows every email the AI processed today: what it did, what it recommended, and whether the engineer sent it. The client pipeline shows all tracked clients, their current status, and their interaction history. The metrics page shows RAGAS evaluation scores, engineer approval rate, routing accuracy, and cost per processed email.</w:t>
      </w:r>
    </w:p>
    <w:p>
      <w:pPr>
        <w:spacing w:after="240" w:before="0"/>
      </w:pPr>
      <w:r>
        <w:t xml:space="preserve"/>
      </w:r>
    </w:p>
    <w:p>
      <w:pPr>
        <w:pStyle w:val="Heading2"/>
        <w:spacing w:after="120" w:before="280"/>
      </w:pPr>
      <w:r>
        <w:rPr>
          <w:rFonts w:ascii="Arial" w:cs="Arial" w:eastAsia="Arial" w:hAnsi="Arial"/>
          <w:b/>
          <w:bCs/>
          <w:color w:val="2563EB"/>
          <w:sz w:val="28"/>
          <w:szCs w:val="28"/>
        </w:rPr>
        <w:t xml:space="preserve">4.6 Client Memory</w:t>
      </w:r>
    </w:p>
    <w:p>
      <w:pPr>
        <w:spacing w:after="100" w:before="60"/>
      </w:pPr>
      <w:r>
        <w:rPr>
          <w:rFonts w:ascii="Arial" w:cs="Arial" w:eastAsia="Arial" w:hAnsi="Arial"/>
          <w:b w:val="false"/>
          <w:bCs w:val="false"/>
          <w:color w:val="334155"/>
          <w:sz w:val="22"/>
          <w:szCs w:val="22"/>
        </w:rPr>
        <w:t xml:space="preserve">Every client interaction is stored in a MongoDB collection. When a new email arrives from a known client, the AI retrieves their full history before processing: their name and company, every product that was discussed, the outcome of previous emails, and their current pipeline stage. This means the fifth email in a six-week thread gets a reply that references everything that came before it, even if three different engineers handled the previous emails.</w:t>
      </w:r>
    </w:p>
    <w:p>
      <w:pPr>
        <w:spacing w:after="120" w:before="0"/>
      </w:pPr>
      <w:r>
        <w:t xml:space="preserve"/>
      </w:r>
    </w:p>
    <w:p>
      <w:pPr>
        <w:pStyle w:val="Heading2"/>
        <w:spacing w:after="120" w:before="280"/>
      </w:pPr>
      <w:r>
        <w:rPr>
          <w:rFonts w:ascii="Arial" w:cs="Arial" w:eastAsia="Arial" w:hAnsi="Arial"/>
          <w:b/>
          <w:bCs/>
          <w:color w:val="2563EB"/>
          <w:sz w:val="28"/>
          <w:szCs w:val="28"/>
        </w:rPr>
        <w:t xml:space="preserve">4.7 HubSpot CRM Integration</w:t>
      </w:r>
    </w:p>
    <w:p>
      <w:pPr>
        <w:spacing w:after="100" w:before="60"/>
      </w:pPr>
      <w:r>
        <w:rPr>
          <w:rFonts w:ascii="Arial" w:cs="Arial" w:eastAsia="Arial" w:hAnsi="Arial"/>
          <w:b w:val="false"/>
          <w:bCs w:val="false"/>
          <w:color w:val="334155"/>
          <w:sz w:val="22"/>
          <w:szCs w:val="22"/>
        </w:rPr>
        <w:t xml:space="preserve">After every processed email, the system automatically calls the HubSpot API. If the sender is a new contact, it creates them. If they are existing, it updates their record. Product inquiries create a deal and move it to the appropriate stage. Every email creates an interaction note in HubSpot, so any team member can open HubSpot and see the full client history without asking anyone. The pipeline view is always current, updated by the AI rather than by engineers remembering to log their work.</w:t>
      </w:r>
    </w:p>
    <w:p>
      <w:pPr>
        <w:spacing w:after="240" w:before="0"/>
      </w:pPr>
      <w:r>
        <w:t xml:space="preserve"/>
      </w:r>
    </w:p>
    <w:p>
      <w:pPr>
        <w:pageBreakBefore/>
      </w:pPr>
      <w:r>
        <w:t xml:space="preserve"/>
      </w:r>
    </w:p>
    <w:p>
      <w:pPr>
        <w:pStyle w:val="Heading1"/>
        <w:spacing w:after="160" w:before="360"/>
      </w:pPr>
      <w:r>
        <w:rPr>
          <w:rFonts w:ascii="Arial" w:cs="Arial" w:eastAsia="Arial" w:hAnsi="Arial"/>
          <w:b/>
          <w:bCs/>
          <w:color w:val="1E293B"/>
          <w:sz w:val="36"/>
          <w:szCs w:val="36"/>
        </w:rPr>
        <w:t xml:space="preserve">5. Real-World Demo Use Case</w:t>
      </w:r>
    </w:p>
    <w:p>
      <w:pPr>
        <w:pStyle w:val="Heading2"/>
        <w:spacing w:after="120" w:before="280"/>
      </w:pPr>
      <w:r>
        <w:rPr>
          <w:rFonts w:ascii="Arial" w:cs="Arial" w:eastAsia="Arial" w:hAnsi="Arial"/>
          <w:b/>
          <w:bCs/>
          <w:color w:val="2563EB"/>
          <w:sz w:val="28"/>
          <w:szCs w:val="28"/>
        </w:rPr>
        <w:t xml:space="preserve">5.1 The Company: Look2Innovate</w:t>
      </w:r>
    </w:p>
    <w:p>
      <w:pPr>
        <w:spacing w:after="100" w:before="60"/>
      </w:pPr>
      <w:r>
        <w:rPr>
          <w:rFonts w:ascii="Arial" w:cs="Arial" w:eastAsia="Arial" w:hAnsi="Arial"/>
          <w:b w:val="false"/>
          <w:bCs w:val="false"/>
          <w:color w:val="334155"/>
          <w:sz w:val="22"/>
          <w:szCs w:val="22"/>
        </w:rPr>
        <w:t xml:space="preserve">Look2Innovate is a Luxembourg-based B2B company that manufactures professional audio guide systems for museums, exhibitions, and cultural institutions. They are trusted by institutions like The National Gallery in London, the Formula 1 Exhibition in Amsterdam, and Mont Saint-Michel Abbey in France. Millions of visitors use their devices every year.</w:t>
      </w:r>
    </w:p>
    <w:p>
      <w:pPr>
        <w:spacing w:after="100" w:before="60"/>
      </w:pPr>
      <w:r>
        <w:rPr>
          <w:rFonts w:ascii="Arial" w:cs="Arial" w:eastAsia="Arial" w:hAnsi="Arial"/>
          <w:b w:val="false"/>
          <w:bCs w:val="false"/>
          <w:color w:val="334155"/>
          <w:sz w:val="22"/>
          <w:szCs w:val="22"/>
        </w:rPr>
        <w:t xml:space="preserve">Their product lineup includes the Trend audio guide (point-and-click operation, IR and RF triggering, 100 hours battery life), the Style audio guide (award-winning design, multimedia capabilities), the Look tablet (5.5 inch Android tablet with IR triggering and video sync), and several supporting products including tour guide transmitters, charging systems, and headsets.</w:t>
      </w:r>
    </w:p>
    <w:p>
      <w:pPr>
        <w:spacing w:after="100" w:before="60"/>
      </w:pPr>
      <w:r>
        <w:rPr>
          <w:rFonts w:ascii="Arial" w:cs="Arial" w:eastAsia="Arial" w:hAnsi="Arial"/>
          <w:b w:val="false"/>
          <w:bCs w:val="false"/>
          <w:color w:val="334155"/>
          <w:sz w:val="22"/>
          <w:szCs w:val="22"/>
        </w:rPr>
        <w:t xml:space="preserve">Each product has distinct compatibility rules: some require IR triggering boxes, some support RF, some support both, some can sync with external video, some cannot. A museum inquiring about their system needs a technically accurate recommendation that accounts for their floor layout, exhibit count, language requirements, triggering preference, and battery expectations.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single" w:color="2563EB" w:sz="8"/>
              <w:bottom w:val="single" w:color="2563EB" w:sz="8"/>
              <w:right w:val="single" w:color="2563EB" w:sz="8"/>
            </w:tcBorders>
            <w:shd w:fill="D1FAE5" w:val="clear"/>
            <w:tcMar>
              <w:top w:type="dxa" w:w="160"/>
              <w:left w:type="dxa" w:w="200"/>
              <w:bottom w:type="dxa" w:w="160"/>
              <w:right w:type="dxa" w:w="200"/>
            </w:tcMar>
          </w:tcPr>
          <w:p>
            <w:pPr>
              <w:spacing w:after="60" w:before="0"/>
            </w:pPr>
            <w:r>
              <w:rPr>
                <w:rFonts w:ascii="Arial" w:cs="Arial" w:eastAsia="Arial" w:hAnsi="Arial"/>
                <w:b/>
                <w:bCs/>
                <w:color w:val="059669"/>
                <w:sz w:val="22"/>
                <w:szCs w:val="22"/>
              </w:rPr>
              <w:t xml:space="preserve">Why Look2Innovate Is the Perfect Demo Case</w:t>
            </w:r>
          </w:p>
          <w:p>
            <w:pPr>
              <w:spacing w:after="0" w:before="0"/>
            </w:pPr>
            <w:r>
              <w:rPr>
                <w:rFonts w:ascii="Arial" w:cs="Arial" w:eastAsia="Arial" w:hAnsi="Arial"/>
                <w:color w:val="1E293B"/>
                <w:sz w:val="22"/>
                <w:szCs w:val="22"/>
              </w:rPr>
              <w:t xml:space="preserve">The problem is real and was observed first-hand. The product catalog is genuinely complex, with multiple devices and triggering systems that cannot be mixed arbitrarily. Client emails arrive from museum directors and facilities managers around the world who have specific, detailed requirements. A wrong recommendation does not just lose a deal — it results in a museum deployment that fails. The stakes are high enough that the value of getting it right is obvious.</w:t>
            </w:r>
          </w:p>
        </w:tc>
      </w:tr>
    </w:tbl>
    <w:p>
      <w:pPr>
        <w:spacing w:after="240" w:before="0"/>
      </w:pPr>
      <w:r>
        <w:t xml:space="preserve"/>
      </w:r>
    </w:p>
    <w:p>
      <w:pPr>
        <w:pStyle w:val="Heading2"/>
        <w:spacing w:after="120" w:before="280"/>
      </w:pPr>
      <w:r>
        <w:rPr>
          <w:rFonts w:ascii="Arial" w:cs="Arial" w:eastAsia="Arial" w:hAnsi="Arial"/>
          <w:b/>
          <w:bCs/>
          <w:color w:val="2563EB"/>
          <w:sz w:val="28"/>
          <w:szCs w:val="28"/>
        </w:rPr>
        <w:t xml:space="preserve">5.2 The Email That Arrives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4"/>
              <w:left w:val="single" w:color="94A3B8" w:sz="4"/>
              <w:bottom w:val="single" w:color="94A3B8" w:sz="4"/>
              <w:right w:val="single" w:color="94A3B8" w:sz="4"/>
            </w:tcBorders>
            <w:shd w:fill="F1F5F9" w:val="clear"/>
            <w:tcMar>
              <w:top w:type="dxa" w:w="180"/>
              <w:left w:type="dxa" w:w="240"/>
              <w:bottom w:type="dxa" w:w="180"/>
              <w:right w:type="dxa" w:w="240"/>
            </w:tcMar>
          </w:tcPr>
          <w:p>
            <w:pPr>
              <w:spacing w:after="80" w:before="0"/>
            </w:pPr>
            <w:r>
              <w:rPr>
                <w:rFonts w:ascii="Courier New" w:cs="Courier New" w:eastAsia="Courier New" w:hAnsi="Courier New"/>
                <w:color w:val="475569"/>
                <w:sz w:val="20"/>
                <w:szCs w:val="20"/>
              </w:rPr>
              <w:t xml:space="preserve">From: Ahmed Hassan &lt;ahmed.hassan@luxormuseum.eg&gt;</w:t>
            </w:r>
          </w:p>
          <w:p>
            <w:pPr>
              <w:spacing w:after="80" w:before="0"/>
            </w:pPr>
            <w:r>
              <w:rPr>
                <w:rFonts w:ascii="Courier New" w:cs="Courier New" w:eastAsia="Courier New" w:hAnsi="Courier New"/>
                <w:color w:val="475569"/>
                <w:sz w:val="20"/>
                <w:szCs w:val="20"/>
              </w:rPr>
              <w:t xml:space="preserve">To: sales@look2innovate.com</w:t>
            </w:r>
          </w:p>
          <w:p>
            <w:pPr>
              <w:spacing w:after="80" w:before="0"/>
            </w:pPr>
            <w:r>
              <w:rPr>
                <w:rFonts w:ascii="Courier New" w:cs="Courier New" w:eastAsia="Courier New" w:hAnsi="Courier New"/>
                <w:b/>
                <w:bCs/>
                <w:color w:val="1E293B"/>
                <w:sz w:val="20"/>
                <w:szCs w:val="20"/>
              </w:rPr>
              <w:t xml:space="preserve">Subject: Audio Guide System Inquiry — Luxor Museum of Ancient Egyptian Art</w:t>
            </w:r>
          </w:p>
          <w:p>
            <w:pPr>
              <w:spacing w:after="60" w:before="80"/>
            </w:pPr>
            <w:r>
              <w:rPr>
                <w:rFonts w:ascii="Courier New" w:cs="Courier New" w:eastAsia="Courier New" w:hAnsi="Courier New"/>
                <w:color w:val="1E293B"/>
                <w:sz w:val="20"/>
                <w:szCs w:val="20"/>
              </w:rPr>
              <w:t xml:space="preserve">Dear Team,</w:t>
            </w:r>
          </w:p>
          <w:p>
            <w:pPr>
              <w:spacing w:after="60" w:before="0"/>
            </w:pPr>
            <w:r>
              <w:rPr>
                <w:rFonts w:ascii="Courier New" w:cs="Courier New" w:eastAsia="Courier New" w:hAnsi="Courier New"/>
                <w:color w:val="1E293B"/>
                <w:sz w:val="20"/>
                <w:szCs w:val="20"/>
              </w:rPr>
              <w:t xml:space="preserve">I am the Facilities Director at the Luxor Museum of Ancient Egyptian Art. We are planning to modernize our visitor experience and are considering an audio guide system for our permanent collection.</w:t>
            </w:r>
          </w:p>
          <w:p>
            <w:pPr>
              <w:spacing w:after="60" w:before="0"/>
            </w:pPr>
            <w:r>
              <w:rPr>
                <w:rFonts w:ascii="Courier New" w:cs="Courier New" w:eastAsia="Courier New" w:hAnsi="Courier New"/>
                <w:color w:val="1E293B"/>
                <w:sz w:val="20"/>
                <w:szCs w:val="20"/>
              </w:rPr>
              <w:t xml:space="preserve">Our requirements are as follows:</w:t>
            </w:r>
          </w:p>
          <w:p>
            <w:pPr>
              <w:spacing w:after="40" w:before="0"/>
            </w:pPr>
            <w:r>
              <w:rPr>
                <w:rFonts w:ascii="Courier New" w:cs="Courier New" w:eastAsia="Courier New" w:hAnsi="Courier New"/>
                <w:color w:val="1E293B"/>
                <w:sz w:val="20"/>
                <w:szCs w:val="20"/>
              </w:rPr>
              <w:t xml:space="preserve">- We have 3 exhibition floors with approximately 120 exhibit points</w:t>
            </w:r>
          </w:p>
          <w:p>
            <w:pPr>
              <w:spacing w:after="40" w:before="0"/>
            </w:pPr>
            <w:r>
              <w:rPr>
                <w:rFonts w:ascii="Courier New" w:cs="Courier New" w:eastAsia="Courier New" w:hAnsi="Courier New"/>
                <w:color w:val="1E293B"/>
                <w:sz w:val="20"/>
                <w:szCs w:val="20"/>
              </w:rPr>
              <w:t xml:space="preserve">- We require automatic triggering at each exhibit — visitors should not need to press anything</w:t>
            </w:r>
          </w:p>
          <w:p>
            <w:pPr>
              <w:spacing w:after="40" w:before="0"/>
            </w:pPr>
            <w:r>
              <w:rPr>
                <w:rFonts w:ascii="Courier New" w:cs="Courier New" w:eastAsia="Courier New" w:hAnsi="Courier New"/>
                <w:color w:val="1E293B"/>
                <w:sz w:val="20"/>
                <w:szCs w:val="20"/>
              </w:rPr>
              <w:t xml:space="preserve">- Multilingual support is essential: Arabic, English, and French at minimum</w:t>
            </w:r>
          </w:p>
          <w:p>
            <w:pPr>
              <w:spacing w:after="40" w:before="0"/>
            </w:pPr>
            <w:r>
              <w:rPr>
                <w:rFonts w:ascii="Courier New" w:cs="Courier New" w:eastAsia="Courier New" w:hAnsi="Courier New"/>
                <w:color w:val="1E293B"/>
                <w:sz w:val="20"/>
                <w:szCs w:val="20"/>
              </w:rPr>
              <w:t xml:space="preserve">- Battery life should last a full visitor day (8 hours minimum)</w:t>
            </w:r>
          </w:p>
          <w:p>
            <w:pPr>
              <w:spacing w:after="40" w:before="0"/>
            </w:pPr>
            <w:r>
              <w:rPr>
                <w:rFonts w:ascii="Courier New" w:cs="Courier New" w:eastAsia="Courier New" w:hAnsi="Courier New"/>
                <w:color w:val="1E293B"/>
                <w:sz w:val="20"/>
                <w:szCs w:val="20"/>
              </w:rPr>
              <w:t xml:space="preserve">- We do not need video synchronization</w:t>
            </w:r>
          </w:p>
          <w:p>
            <w:pPr>
              <w:spacing w:after="60" w:before="40"/>
            </w:pPr>
            <w:r>
              <w:rPr>
                <w:rFonts w:ascii="Courier New" w:cs="Courier New" w:eastAsia="Courier New" w:hAnsi="Courier New"/>
                <w:color w:val="1E293B"/>
                <w:sz w:val="20"/>
                <w:szCs w:val="20"/>
              </w:rPr>
              <w:t xml:space="preserve">Could you recommend the most appropriate system and provide a rough estimate for a fleet of 200 devices?</w:t>
            </w:r>
          </w:p>
          <w:p>
            <w:pPr>
              <w:spacing w:after="40" w:before="0"/>
            </w:pPr>
            <w:r>
              <w:rPr>
                <w:rFonts w:ascii="Courier New" w:cs="Courier New" w:eastAsia="Courier New" w:hAnsi="Courier New"/>
                <w:color w:val="1E293B"/>
                <w:sz w:val="20"/>
                <w:szCs w:val="20"/>
              </w:rPr>
              <w:t xml:space="preserve">Best regards,</w:t>
            </w:r>
          </w:p>
          <w:p>
            <w:pPr>
              <w:spacing w:after="0" w:before="0"/>
            </w:pPr>
            <w:r>
              <w:rPr>
                <w:rFonts w:ascii="Courier New" w:cs="Courier New" w:eastAsia="Courier New" w:hAnsi="Courier New"/>
                <w:color w:val="1E293B"/>
                <w:sz w:val="20"/>
                <w:szCs w:val="20"/>
              </w:rPr>
              <w:t xml:space="preserve">Ahmed Hassan, Facilities Director, Luxor Museum of Ancient Egyptian Art</w:t>
            </w:r>
          </w:p>
        </w:tc>
      </w:tr>
    </w:tbl>
    <w:p>
      <w:pPr>
        <w:spacing w:after="240" w:before="0"/>
      </w:pPr>
      <w:r>
        <w:t xml:space="preserve"/>
      </w:r>
    </w:p>
    <w:p>
      <w:pPr>
        <w:pStyle w:val="Heading2"/>
        <w:spacing w:after="120" w:before="280"/>
      </w:pPr>
      <w:r>
        <w:rPr>
          <w:rFonts w:ascii="Arial" w:cs="Arial" w:eastAsia="Arial" w:hAnsi="Arial"/>
          <w:b/>
          <w:bCs/>
          <w:color w:val="2563EB"/>
          <w:sz w:val="28"/>
          <w:szCs w:val="28"/>
        </w:rPr>
        <w:t xml:space="preserve">5.3 What Happens Without Inbox Sales Copilot</w:t>
      </w:r>
    </w:p>
    <w:p>
      <w:pPr>
        <w:spacing w:after="100" w:before="60"/>
      </w:pPr>
      <w:r>
        <w:rPr>
          <w:rFonts w:ascii="Arial" w:cs="Arial" w:eastAsia="Arial" w:hAnsi="Arial"/>
          <w:b w:val="false"/>
          <w:bCs w:val="false"/>
          <w:color w:val="334155"/>
          <w:sz w:val="22"/>
          <w:szCs w:val="22"/>
        </w:rPr>
        <w:t xml:space="preserve">The email arrives at 9 AM Cairo time. The Look2Innovate sales engineer in Luxembourg is in a meeting. By the time they read it at 11 AM, they need to do the following:</w:t>
      </w:r>
    </w:p>
    <w:p>
      <w:pPr>
        <w:pStyle w:val="ListParagraph"/>
        <w:numPr>
          <w:ilvl w:val="0"/>
          <w:numId w:val="3"/>
        </w:numPr>
        <w:spacing w:after="40" w:before="40"/>
      </w:pPr>
      <w:r>
        <w:rPr>
          <w:rFonts w:ascii="Arial" w:cs="Arial" w:eastAsia="Arial" w:hAnsi="Arial"/>
          <w:b w:val="false"/>
          <w:bCs w:val="false"/>
          <w:color w:val="334155"/>
          <w:sz w:val="22"/>
          <w:szCs w:val="22"/>
        </w:rPr>
        <w:t xml:space="preserve">Read the email carefully to understand the full requirements.</w:t>
      </w:r>
    </w:p>
    <w:p>
      <w:pPr>
        <w:pStyle w:val="ListParagraph"/>
        <w:numPr>
          <w:ilvl w:val="0"/>
          <w:numId w:val="3"/>
        </w:numPr>
        <w:spacing w:after="40" w:before="40"/>
      </w:pPr>
      <w:r>
        <w:rPr>
          <w:rFonts w:ascii="Arial" w:cs="Arial" w:eastAsia="Arial" w:hAnsi="Arial"/>
          <w:b w:val="false"/>
          <w:bCs w:val="false"/>
          <w:color w:val="334155"/>
          <w:sz w:val="22"/>
          <w:szCs w:val="22"/>
        </w:rPr>
        <w:t xml:space="preserve">Open the product documentation to compare the Trend and Style models and confirm which supports IR and RF auto-triggering.</w:t>
      </w:r>
    </w:p>
    <w:p>
      <w:pPr>
        <w:pStyle w:val="ListParagraph"/>
        <w:numPr>
          <w:ilvl w:val="0"/>
          <w:numId w:val="3"/>
        </w:numPr>
        <w:spacing w:after="40" w:before="40"/>
      </w:pPr>
      <w:r>
        <w:rPr>
          <w:rFonts w:ascii="Arial" w:cs="Arial" w:eastAsia="Arial" w:hAnsi="Arial"/>
          <w:b w:val="false"/>
          <w:bCs w:val="false"/>
          <w:color w:val="334155"/>
          <w:sz w:val="22"/>
          <w:szCs w:val="22"/>
        </w:rPr>
        <w:t xml:space="preserve">Check whether 200 devices require any special fleet management configuration.</w:t>
      </w:r>
    </w:p>
    <w:p>
      <w:pPr>
        <w:pStyle w:val="ListParagraph"/>
        <w:numPr>
          <w:ilvl w:val="0"/>
          <w:numId w:val="3"/>
        </w:numPr>
        <w:spacing w:after="40" w:before="40"/>
      </w:pPr>
      <w:r>
        <w:rPr>
          <w:rFonts w:ascii="Arial" w:cs="Arial" w:eastAsia="Arial" w:hAnsi="Arial"/>
          <w:b w:val="false"/>
          <w:bCs w:val="false"/>
          <w:color w:val="334155"/>
          <w:sz w:val="22"/>
          <w:szCs w:val="22"/>
        </w:rPr>
        <w:t xml:space="preserve">Recall whether Luxor Museum has contacted them before or if this is a new contact.</w:t>
      </w:r>
    </w:p>
    <w:p>
      <w:pPr>
        <w:pStyle w:val="ListParagraph"/>
        <w:numPr>
          <w:ilvl w:val="0"/>
          <w:numId w:val="3"/>
        </w:numPr>
        <w:spacing w:after="40" w:before="40"/>
      </w:pPr>
      <w:r>
        <w:rPr>
          <w:rFonts w:ascii="Arial" w:cs="Arial" w:eastAsia="Arial" w:hAnsi="Arial"/>
          <w:b w:val="false"/>
          <w:bCs w:val="false"/>
          <w:color w:val="334155"/>
          <w:sz w:val="22"/>
          <w:szCs w:val="22"/>
        </w:rPr>
        <w:t xml:space="preserve">Confirm that the Style or Trend model supports at least 8 hours of battery life (the Trend is rated at 100 hours total, so daily use is well covered).</w:t>
      </w:r>
    </w:p>
    <w:p>
      <w:pPr>
        <w:pStyle w:val="ListParagraph"/>
        <w:numPr>
          <w:ilvl w:val="0"/>
          <w:numId w:val="3"/>
        </w:numPr>
        <w:spacing w:after="40" w:before="40"/>
      </w:pPr>
      <w:r>
        <w:rPr>
          <w:rFonts w:ascii="Arial" w:cs="Arial" w:eastAsia="Arial" w:hAnsi="Arial"/>
          <w:b w:val="false"/>
          <w:bCs w:val="false"/>
          <w:color w:val="334155"/>
          <w:sz w:val="22"/>
          <w:szCs w:val="22"/>
        </w:rPr>
        <w:t xml:space="preserve">Note the explicit 'no video sync' requirement and make sure to exclude the SyncBox and Look tablet from the recommendation.</w:t>
      </w:r>
    </w:p>
    <w:p>
      <w:pPr>
        <w:pStyle w:val="ListParagraph"/>
        <w:numPr>
          <w:ilvl w:val="0"/>
          <w:numId w:val="3"/>
        </w:numPr>
        <w:spacing w:after="40" w:before="40"/>
      </w:pPr>
      <w:r>
        <w:rPr>
          <w:rFonts w:ascii="Arial" w:cs="Arial" w:eastAsia="Arial" w:hAnsi="Arial"/>
          <w:b w:val="false"/>
          <w:bCs w:val="false"/>
          <w:color w:val="334155"/>
          <w:sz w:val="22"/>
          <w:szCs w:val="22"/>
        </w:rPr>
        <w:t xml:space="preserve">Write a professional, technically accurate reply.</w:t>
      </w:r>
    </w:p>
    <w:p>
      <w:pPr>
        <w:pStyle w:val="ListParagraph"/>
        <w:numPr>
          <w:ilvl w:val="0"/>
          <w:numId w:val="3"/>
        </w:numPr>
        <w:spacing w:after="40" w:before="40"/>
      </w:pPr>
      <w:r>
        <w:rPr>
          <w:rFonts w:ascii="Arial" w:cs="Arial" w:eastAsia="Arial" w:hAnsi="Arial"/>
          <w:b w:val="false"/>
          <w:bCs w:val="false"/>
          <w:color w:val="334155"/>
          <w:sz w:val="22"/>
          <w:szCs w:val="22"/>
        </w:rPr>
        <w:t xml:space="preserve">Log the contact and inquiry in HubSpot.</w:t>
      </w:r>
    </w:p>
    <w:p>
      <w:pPr>
        <w:spacing w:after="120" w:before="0"/>
      </w:pPr>
      <w:r>
        <w:t xml:space="preserve"/>
      </w:r>
    </w:p>
    <w:p>
      <w:pPr>
        <w:spacing w:after="100" w:before="60"/>
      </w:pPr>
      <w:r>
        <w:rPr>
          <w:rFonts w:ascii="Arial" w:cs="Arial" w:eastAsia="Arial" w:hAnsi="Arial"/>
          <w:b w:val="false"/>
          <w:bCs w:val="false"/>
          <w:color w:val="334155"/>
          <w:sz w:val="22"/>
          <w:szCs w:val="22"/>
        </w:rPr>
        <w:t xml:space="preserve">Total time: between 45 minutes and 2 hours. Ahmed Hassan waits until at least early afternoon, possibly longer if the engineer gets pulled into another meeting. Meanwhile, he may have emailed two other audio guide vendors.</w:t>
      </w:r>
    </w:p>
    <w:p>
      <w:pPr>
        <w:spacing w:after="120" w:before="0"/>
      </w:pPr>
      <w:r>
        <w:t xml:space="preserve"/>
      </w:r>
    </w:p>
    <w:p>
      <w:pPr>
        <w:pStyle w:val="Heading2"/>
        <w:spacing w:after="120" w:before="280"/>
      </w:pPr>
      <w:r>
        <w:rPr>
          <w:rFonts w:ascii="Arial" w:cs="Arial" w:eastAsia="Arial" w:hAnsi="Arial"/>
          <w:b/>
          <w:bCs/>
          <w:color w:val="2563EB"/>
          <w:sz w:val="28"/>
          <w:szCs w:val="28"/>
        </w:rPr>
        <w:t xml:space="preserve">5.4 What Happens With Inbox Sales Copilot</w:t>
      </w:r>
    </w:p>
    <w:p>
      <w:pPr>
        <w:spacing w:after="100" w:before="60"/>
      </w:pPr>
      <w:r>
        <w:rPr>
          <w:rFonts w:ascii="Arial" w:cs="Arial" w:eastAsia="Arial" w:hAnsi="Arial"/>
          <w:b w:val="false"/>
          <w:bCs w:val="false"/>
          <w:color w:val="334155"/>
          <w:sz w:val="22"/>
          <w:szCs w:val="22"/>
        </w:rPr>
        <w:t xml:space="preserve">The email arrives at 9 AM Cairo time. The system processes it immediately. Here is what happens in under 30 seconds: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EB" w:sz="16"/>
              <w:bottom w:val="none" w:color="FFFFFF" w:sz="0"/>
              <w:right w:val="none" w:color="FFFFFF" w:sz="0"/>
            </w:tcBorders>
            <w:shd w:fill="DBEAFE" w:val="clear"/>
            <w:tcMar>
              <w:top w:type="dxa" w:w="80"/>
              <w:left w:type="dxa" w:w="160"/>
              <w:bottom w:type="dxa" w:w="80"/>
              <w:right w:type="dxa" w:w="160"/>
            </w:tcMar>
          </w:tcPr>
          <w:p>
            <w:r>
              <w:rPr>
                <w:rFonts w:ascii="Arial" w:cs="Arial" w:eastAsia="Arial" w:hAnsi="Arial"/>
                <w:b/>
                <w:bCs/>
                <w:color w:val="2563EB"/>
                <w:sz w:val="24"/>
                <w:szCs w:val="24"/>
              </w:rPr>
              <w:t xml:space="preserve">Step 1: Classification (Classifier Agent)</w:t>
            </w:r>
          </w:p>
        </w:tc>
      </w:tr>
    </w:tbl>
    <w:p>
      <w:pPr>
        <w:spacing w:after="120" w:before="0"/>
      </w:pPr>
      <w:r>
        <w:t xml:space="preserve"/>
      </w:r>
    </w:p>
    <w:p>
      <w:pPr>
        <w:spacing w:after="100" w:before="60"/>
      </w:pPr>
      <w:r>
        <w:rPr>
          <w:rFonts w:ascii="Arial" w:cs="Arial" w:eastAsia="Arial" w:hAnsi="Arial"/>
          <w:b w:val="false"/>
          <w:bCs w:val="false"/>
          <w:color w:val="334155"/>
          <w:sz w:val="22"/>
          <w:szCs w:val="22"/>
        </w:rPr>
        <w:t xml:space="preserve">The Classifier reads the email and classifies it as a Product Inquiry with 94% confidence. It identifies key signals: specific quantity (200 devices), technical requirements (auto-triggering, multilingual), and an explicit decision-making role (Facilities Director). It also notes the explicit exclusion: no video synchronization needed.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4748B" w:sz="16"/>
              <w:bottom w:val="none" w:color="FFFFFF" w:sz="0"/>
              <w:right w:val="none" w:color="FFFFFF" w:sz="0"/>
            </w:tcBorders>
            <w:shd w:fill="F1F5F9" w:val="clear"/>
            <w:tcMar>
              <w:top w:type="dxa" w:w="80"/>
              <w:left w:type="dxa" w:w="160"/>
              <w:bottom w:type="dxa" w:w="80"/>
              <w:right w:type="dxa" w:w="160"/>
            </w:tcMar>
          </w:tcPr>
          <w:p>
            <w:r>
              <w:rPr>
                <w:rFonts w:ascii="Arial" w:cs="Arial" w:eastAsia="Arial" w:hAnsi="Arial"/>
                <w:b/>
                <w:bCs/>
                <w:color w:val="64748B"/>
                <w:sz w:val="24"/>
                <w:szCs w:val="24"/>
              </w:rPr>
              <w:t xml:space="preserve">Step 2: Client Context Check</w:t>
            </w:r>
          </w:p>
        </w:tc>
      </w:tr>
    </w:tbl>
    <w:p>
      <w:pPr>
        <w:spacing w:after="120" w:before="0"/>
      </w:pPr>
      <w:r>
        <w:t xml:space="preserve"/>
      </w:r>
    </w:p>
    <w:p>
      <w:pPr>
        <w:spacing w:after="100" w:before="60"/>
      </w:pPr>
      <w:r>
        <w:rPr>
          <w:rFonts w:ascii="Arial" w:cs="Arial" w:eastAsia="Arial" w:hAnsi="Arial"/>
          <w:b w:val="false"/>
          <w:bCs w:val="false"/>
          <w:color w:val="334155"/>
          <w:sz w:val="22"/>
          <w:szCs w:val="22"/>
        </w:rPr>
        <w:t xml:space="preserve">The system queries the client context store using the sender's email address. This is the first contact from Luxor Museum. A new client record is created. If this were a returning client, the system would pull all previous interactions, products discussed, and current pipeline stage before proceeding.</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EB" w:sz="16"/>
              <w:bottom w:val="none" w:color="FFFFFF" w:sz="0"/>
              <w:right w:val="none" w:color="FFFFFF" w:sz="0"/>
            </w:tcBorders>
            <w:shd w:fill="DBEAFE" w:val="clear"/>
            <w:tcMar>
              <w:top w:type="dxa" w:w="80"/>
              <w:left w:type="dxa" w:w="160"/>
              <w:bottom w:type="dxa" w:w="80"/>
              <w:right w:type="dxa" w:w="160"/>
            </w:tcMar>
          </w:tcPr>
          <w:p>
            <w:r>
              <w:rPr>
                <w:rFonts w:ascii="Arial" w:cs="Arial" w:eastAsia="Arial" w:hAnsi="Arial"/>
                <w:b/>
                <w:bCs/>
                <w:color w:val="2563EB"/>
                <w:sz w:val="24"/>
                <w:szCs w:val="24"/>
              </w:rPr>
              <w:t xml:space="preserve">Step 3: Requirement Extraction (Extractor Agent)</w:t>
            </w:r>
          </w:p>
        </w:tc>
      </w:tr>
    </w:tbl>
    <w:p>
      <w:pPr>
        <w:spacing w:after="120" w:before="0"/>
      </w:pPr>
      <w:r>
        <w:t xml:space="preserve"/>
      </w:r>
    </w:p>
    <w:p>
      <w:pPr>
        <w:spacing w:after="100" w:before="60"/>
      </w:pPr>
      <w:r>
        <w:rPr>
          <w:rFonts w:ascii="Arial" w:cs="Arial" w:eastAsia="Arial" w:hAnsi="Arial"/>
          <w:b w:val="false"/>
          <w:bCs w:val="false"/>
          <w:color w:val="334155"/>
          <w:sz w:val="22"/>
          <w:szCs w:val="22"/>
        </w:rPr>
        <w:t xml:space="preserve">The Extractor processes the email and outputs a structured JSON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4"/>
              <w:left w:val="single" w:color="94A3B8" w:sz="4"/>
              <w:bottom w:val="single" w:color="94A3B8" w:sz="4"/>
              <w:right w:val="single" w:color="94A3B8" w:sz="4"/>
            </w:tcBorders>
            <w:shd w:fill="F8FAFC" w:val="clear"/>
            <w:tcMar>
              <w:top w:type="dxa" w:w="120"/>
              <w:left w:type="dxa" w:w="200"/>
              <w:bottom w:type="dxa" w:w="120"/>
              <w:right w:type="dxa" w:w="200"/>
            </w:tcMar>
          </w:tcPr>
          <w:p>
            <w:r>
              <w:rPr>
                <w:rFonts w:ascii="Courier New" w:cs="Courier New" w:eastAsia="Courier New" w:hAnsi="Courier New"/>
                <w:color w:val="1E293B"/>
                <w:sz w:val="18"/>
                <w:szCs w:val="18"/>
              </w:rPr>
              <w:t xml:space="preserve">{ "floors": 3, "exhibit_points": 120, "fleet_size": 200,</w:t>
            </w:r>
          </w:p>
          <w:p>
            <w:r>
              <w:rPr>
                <w:rFonts w:ascii="Courier New" w:cs="Courier New" w:eastAsia="Courier New" w:hAnsi="Courier New"/>
                <w:color w:val="1E293B"/>
                <w:sz w:val="18"/>
                <w:szCs w:val="18"/>
              </w:rPr>
              <w:t xml:space="preserve">  "triggering": "automatic (IR or RF)", "languages": ["Arabic", "English", "French"],</w:t>
            </w:r>
          </w:p>
          <w:p>
            <w:r>
              <w:rPr>
                <w:rFonts w:ascii="Courier New" w:cs="Courier New" w:eastAsia="Courier New" w:hAnsi="Courier New"/>
                <w:color w:val="1E293B"/>
                <w:sz w:val="18"/>
                <w:szCs w:val="18"/>
              </w:rPr>
              <w:t xml:space="preserve">  "battery_minimum_hours": 8, "video_sync_required": false,</w:t>
            </w:r>
          </w:p>
          <w:p>
            <w:r>
              <w:rPr>
                <w:rFonts w:ascii="Courier New" w:cs="Courier New" w:eastAsia="Courier New" w:hAnsi="Courier New"/>
                <w:color w:val="1E293B"/>
                <w:sz w:val="18"/>
                <w:szCs w:val="18"/>
              </w:rPr>
              <w:t xml:space="preserve">  "client_type": "permanent_collection", "decision_maker": true }</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59669" w:sz="16"/>
              <w:bottom w:val="none" w:color="FFFFFF" w:sz="0"/>
              <w:right w:val="none" w:color="FFFFFF" w:sz="0"/>
            </w:tcBorders>
            <w:shd w:fill="D1FAE5" w:val="clear"/>
            <w:tcMar>
              <w:top w:type="dxa" w:w="80"/>
              <w:left w:type="dxa" w:w="160"/>
              <w:bottom w:type="dxa" w:w="80"/>
              <w:right w:type="dxa" w:w="160"/>
            </w:tcMar>
          </w:tcPr>
          <w:p>
            <w:r>
              <w:rPr>
                <w:rFonts w:ascii="Arial" w:cs="Arial" w:eastAsia="Arial" w:hAnsi="Arial"/>
                <w:b/>
                <w:bCs/>
                <w:color w:val="059669"/>
                <w:sz w:val="24"/>
                <w:szCs w:val="24"/>
              </w:rPr>
              <w:t xml:space="preserve">Step 4: Product Matching (Matcher Agent with RAG)</w:t>
            </w:r>
          </w:p>
        </w:tc>
      </w:tr>
    </w:tbl>
    <w:p>
      <w:pPr>
        <w:spacing w:after="120" w:before="0"/>
      </w:pPr>
      <w:r>
        <w:t xml:space="preserve"/>
      </w:r>
    </w:p>
    <w:p>
      <w:pPr>
        <w:spacing w:after="100" w:before="60"/>
      </w:pPr>
      <w:r>
        <w:rPr>
          <w:rFonts w:ascii="Arial" w:cs="Arial" w:eastAsia="Arial" w:hAnsi="Arial"/>
          <w:b w:val="false"/>
          <w:bCs w:val="false"/>
          <w:color w:val="334155"/>
          <w:sz w:val="22"/>
          <w:szCs w:val="22"/>
        </w:rPr>
        <w:t xml:space="preserve">The Matcher sends a hybrid query to the vector database. It combines semantic search (finding chunks about 'automatic triggering' and 'multilingual audio guides') with keyword search (finding exact mentions of IR, RF, and battery specifications). The cross-encoder reranker scores the retrieved chunks and surfaces the most relevant product documentation.</w:t>
      </w:r>
    </w:p>
    <w:p>
      <w:pPr>
        <w:spacing w:after="100" w:before="60"/>
      </w:pPr>
      <w:r>
        <w:rPr>
          <w:rFonts w:ascii="Arial" w:cs="Arial" w:eastAsia="Arial" w:hAnsi="Arial"/>
          <w:b w:val="false"/>
          <w:bCs w:val="false"/>
          <w:color w:val="334155"/>
          <w:sz w:val="22"/>
          <w:szCs w:val="22"/>
        </w:rPr>
        <w:t xml:space="preserve">The Matcher returns: Style audio guide as the primary recommendation (automatic IR and RF triggering, supports up to 32 languages including Arabic, 100 hours battery life, fits 120+ exhibit deployments). Trend audio guide as the secondary option (similar specs, slightly different form factor). Look tablet explicitly excluded — video sync is not needed and the tablet adds unnecessary cost. SyncBox explicitly excluded — client stated no video sync requirement.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97706" w:sz="16"/>
              <w:bottom w:val="none" w:color="FFFFFF" w:sz="0"/>
              <w:right w:val="none" w:color="FFFFFF" w:sz="0"/>
            </w:tcBorders>
            <w:shd w:fill="FEF3C7" w:val="clear"/>
            <w:tcMar>
              <w:top w:type="dxa" w:w="80"/>
              <w:left w:type="dxa" w:w="160"/>
              <w:bottom w:type="dxa" w:w="80"/>
              <w:right w:type="dxa" w:w="160"/>
            </w:tcMar>
          </w:tcPr>
          <w:p>
            <w:r>
              <w:rPr>
                <w:rFonts w:ascii="Arial" w:cs="Arial" w:eastAsia="Arial" w:hAnsi="Arial"/>
                <w:b/>
                <w:bCs/>
                <w:color w:val="D97706"/>
                <w:sz w:val="24"/>
                <w:szCs w:val="24"/>
              </w:rPr>
              <w:t xml:space="preserve">Step 5: Draft Composition + Self-Check (Composer Agent)</w:t>
            </w:r>
          </w:p>
        </w:tc>
      </w:tr>
    </w:tbl>
    <w:p>
      <w:pPr>
        <w:spacing w:after="120" w:before="0"/>
      </w:pPr>
      <w:r>
        <w:t xml:space="preserve"/>
      </w:r>
    </w:p>
    <w:p>
      <w:pPr>
        <w:spacing w:after="100" w:before="60"/>
      </w:pPr>
      <w:r>
        <w:rPr>
          <w:rFonts w:ascii="Arial" w:cs="Arial" w:eastAsia="Arial" w:hAnsi="Arial"/>
          <w:b w:val="false"/>
          <w:bCs w:val="false"/>
          <w:color w:val="334155"/>
          <w:sz w:val="22"/>
          <w:szCs w:val="22"/>
        </w:rPr>
        <w:t xml:space="preserve">The Composer writes a reply in the voice and style the company uses in client communications. It includes a clear recommendation, the reasoning behind it, a note on the specific features that match the client's requirements, and a call to action for next steps. After writing the draft, it runs a self-check: it reads through every technical claim in the draft and verifies that each one has a source in the retrieved documents. The claim about '100 hours battery life' is confirmed in the spec sheet. The claim about 'up to 32 languages' is confirmed. The claim about 'IR and RF triggering' is confirmed. No hallucinations are detected.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293B" w:sz="16"/>
              <w:bottom w:val="none" w:color="FFFFFF" w:sz="0"/>
              <w:right w:val="none" w:color="FFFFFF" w:sz="0"/>
            </w:tcBorders>
            <w:shd w:fill="E2E8F0" w:val="clear"/>
            <w:tcMar>
              <w:top w:type="dxa" w:w="80"/>
              <w:left w:type="dxa" w:w="160"/>
              <w:bottom w:type="dxa" w:w="80"/>
              <w:right w:type="dxa" w:w="160"/>
            </w:tcMar>
          </w:tcPr>
          <w:p>
            <w:r>
              <w:rPr>
                <w:rFonts w:ascii="Arial" w:cs="Arial" w:eastAsia="Arial" w:hAnsi="Arial"/>
                <w:b/>
                <w:bCs/>
                <w:color w:val="1E293B"/>
                <w:sz w:val="24"/>
                <w:szCs w:val="24"/>
              </w:rPr>
              <w:t xml:space="preserve">Step 6: Supervisor Decision</w:t>
            </w:r>
          </w:p>
        </w:tc>
      </w:tr>
    </w:tbl>
    <w:p>
      <w:pPr>
        <w:spacing w:after="120" w:before="0"/>
      </w:pPr>
      <w:r>
        <w:t xml:space="preserve"/>
      </w:r>
    </w:p>
    <w:p>
      <w:pPr>
        <w:spacing w:after="100" w:before="60"/>
      </w:pPr>
      <w:r>
        <w:rPr>
          <w:rFonts w:ascii="Arial" w:cs="Arial" w:eastAsia="Arial" w:hAnsi="Arial"/>
          <w:b w:val="false"/>
          <w:bCs w:val="false"/>
          <w:color w:val="334155"/>
          <w:sz w:val="22"/>
          <w:szCs w:val="22"/>
        </w:rPr>
        <w:t xml:space="preserve">The Supervisor scores the end-to-end recommendation at 88% confidence. The requirements were clear, the product match was strong, and the self-check passed. The Supervisor saves the draft to Gmail as a draft (not auto-sent, because 88% falls in the medium-confidence range where human review is prudent for a 200-device deal). It updates the client context store with this interaction. It calls the HubSpot API to create Ahmed Hassan as a new contact, create a deal labeled 'Luxor Museum — 200 Devices,' set the deal stage to 'Product Inquiry,' and log the interaction note.</w:t>
      </w:r>
    </w:p>
    <w:p>
      <w:pPr>
        <w:spacing w:after="240" w:before="0"/>
      </w:pPr>
      <w:r>
        <w:t xml:space="preserve"/>
      </w:r>
    </w:p>
    <w:p>
      <w:pPr>
        <w:pStyle w:val="Heading2"/>
        <w:spacing w:after="120" w:before="280"/>
      </w:pPr>
      <w:r>
        <w:rPr>
          <w:rFonts w:ascii="Arial" w:cs="Arial" w:eastAsia="Arial" w:hAnsi="Arial"/>
          <w:b/>
          <w:bCs/>
          <w:color w:val="2563EB"/>
          <w:sz w:val="28"/>
          <w:szCs w:val="28"/>
        </w:rPr>
        <w:t xml:space="preserve">5.5 What the Engineer Sees</w:t>
      </w:r>
    </w:p>
    <w:p>
      <w:pPr>
        <w:spacing w:after="100" w:before="60"/>
      </w:pPr>
      <w:r>
        <w:rPr>
          <w:rFonts w:ascii="Arial" w:cs="Arial" w:eastAsia="Arial" w:hAnsi="Arial"/>
          <w:b w:val="false"/>
          <w:bCs w:val="false"/>
          <w:color w:val="334155"/>
          <w:sz w:val="22"/>
          <w:szCs w:val="22"/>
        </w:rPr>
        <w:t xml:space="preserve">The Look2Innovate engineer arrives at their desk. They open Gmail. Next to Ahmed Hassan's email, they see the Inbox Sales Copilot sidebar. It shows: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E3A5F" w:sz="8"/>
              <w:left w:val="single" w:color="1E3A5F" w:sz="8"/>
              <w:bottom w:val="single" w:color="1E3A5F" w:sz="8"/>
              <w:right w:val="single" w:color="1E3A5F" w:sz="8"/>
            </w:tcBorders>
            <w:shd w:fill="1E293B" w:val="clear"/>
            <w:tcMar>
              <w:top w:type="dxa" w:w="100"/>
              <w:left w:type="dxa" w:w="140"/>
              <w:bottom w:type="dxa" w:w="100"/>
              <w:right w:type="dxa" w:w="100"/>
            </w:tcMar>
          </w:tcPr>
          <w:p>
            <w:r>
              <w:rPr>
                <w:rFonts w:ascii="Arial" w:cs="Arial" w:eastAsia="Arial" w:hAnsi="Arial"/>
                <w:b/>
                <w:bCs/>
                <w:color w:val="FFFFFF"/>
                <w:sz w:val="20"/>
                <w:szCs w:val="20"/>
              </w:rPr>
              <w:t xml:space="preserve">Sidebar Section</w:t>
            </w:r>
          </w:p>
        </w:tc>
        <w:tc>
          <w:tcPr>
            <w:tcW w:type="dxa" w:w="6860"/>
            <w:tcBorders>
              <w:top w:val="single" w:color="1E3A5F" w:sz="8"/>
              <w:left w:val="single" w:color="1E3A5F" w:sz="8"/>
              <w:bottom w:val="single" w:color="1E3A5F" w:sz="8"/>
              <w:right w:val="single" w:color="1E3A5F" w:sz="8"/>
            </w:tcBorders>
            <w:shd w:fill="1E293B" w:val="clear"/>
            <w:tcMar>
              <w:top w:type="dxa" w:w="100"/>
              <w:left w:type="dxa" w:w="140"/>
              <w:bottom w:type="dxa" w:w="100"/>
              <w:right w:type="dxa" w:w="100"/>
            </w:tcMar>
          </w:tcPr>
          <w:p>
            <w:r>
              <w:rPr>
                <w:rFonts w:ascii="Arial" w:cs="Arial" w:eastAsia="Arial" w:hAnsi="Arial"/>
                <w:b/>
                <w:bCs/>
                <w:color w:val="FFFFFF"/>
                <w:sz w:val="20"/>
                <w:szCs w:val="20"/>
              </w:rPr>
              <w:t xml:space="preserve">Content</w:t>
            </w:r>
          </w:p>
        </w:tc>
      </w:tr>
      <w:tr>
        <w:tc>
          <w:tcPr>
            <w:tcW w:type="dxa" w:w="25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Classification</w:t>
            </w:r>
          </w:p>
        </w:tc>
        <w:tc>
          <w:tcPr>
            <w:tcW w:type="dxa" w:w="68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Product Inquiry — 88% confidence</w:t>
            </w:r>
          </w:p>
        </w:tc>
      </w:tr>
      <w:tr>
        <w:tc>
          <w:tcPr>
            <w:tcW w:type="dxa" w:w="25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Client</w:t>
            </w:r>
          </w:p>
        </w:tc>
        <w:tc>
          <w:tcPr>
            <w:tcW w:type="dxa" w:w="68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New contact — Luxor Museum of Ancient Egyptian Art, Egypt</w:t>
            </w:r>
          </w:p>
        </w:tc>
      </w:tr>
      <w:tr>
        <w:tc>
          <w:tcPr>
            <w:tcW w:type="dxa" w:w="25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Extracted Requirements</w:t>
            </w:r>
          </w:p>
        </w:tc>
        <w:tc>
          <w:tcPr>
            <w:tcW w:type="dxa" w:w="68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Auto-triggering, 3 floors, 120 exhibits, 200 devices, Arabic + English + French, 8h+ battery, no video sync</w:t>
            </w:r>
          </w:p>
        </w:tc>
      </w:tr>
      <w:tr>
        <w:tc>
          <w:tcPr>
            <w:tcW w:type="dxa" w:w="25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Recommendation</w:t>
            </w:r>
          </w:p>
        </w:tc>
        <w:tc>
          <w:tcPr>
            <w:tcW w:type="dxa" w:w="68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Style Audio Guide — Multi-floor Package. Supports IR/RF triggering, 32 languages, 100h battery. SyncBox and Look tablet excluded.</w:t>
            </w:r>
          </w:p>
        </w:tc>
      </w:tr>
      <w:tr>
        <w:tc>
          <w:tcPr>
            <w:tcW w:type="dxa" w:w="25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Action Options</w:t>
            </w:r>
          </w:p>
        </w:tc>
        <w:tc>
          <w:tcPr>
            <w:tcW w:type="dxa" w:w="68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Send / Edit / Skip</w:t>
            </w:r>
          </w:p>
        </w:tc>
      </w:tr>
    </w:tbl>
    <w:p>
      <w:pPr>
        <w:spacing w:after="120" w:before="0"/>
      </w:pPr>
      <w:r>
        <w:t xml:space="preserve"/>
      </w:r>
    </w:p>
    <w:p>
      <w:pPr>
        <w:spacing w:after="100" w:before="60"/>
      </w:pPr>
      <w:r>
        <w:rPr>
          <w:rFonts w:ascii="Arial" w:cs="Arial" w:eastAsia="Arial" w:hAnsi="Arial"/>
          <w:b w:val="false"/>
          <w:bCs w:val="false"/>
          <w:color w:val="334155"/>
          <w:sz w:val="22"/>
          <w:szCs w:val="22"/>
        </w:rPr>
        <w:t xml:space="preserve">The engineer reads the draft. The recommendation is technically correct. The language is professional. The exclusions are well-reasoned. They add one sentence about scheduling an on-site consultation to discuss fleet configuration, and click Send. The whole process took four minutes instead of ninety.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single" w:color="2563EB" w:sz="8"/>
              <w:bottom w:val="single" w:color="2563EB" w:sz="8"/>
              <w:right w:val="single" w:color="2563EB" w:sz="8"/>
            </w:tcBorders>
            <w:shd w:fill="D1FAE5" w:val="clear"/>
            <w:tcMar>
              <w:top w:type="dxa" w:w="160"/>
              <w:left w:type="dxa" w:w="200"/>
              <w:bottom w:type="dxa" w:w="160"/>
              <w:right w:type="dxa" w:w="200"/>
            </w:tcMar>
          </w:tcPr>
          <w:p>
            <w:pPr>
              <w:spacing w:after="60" w:before="0"/>
            </w:pPr>
            <w:r>
              <w:rPr>
                <w:rFonts w:ascii="Arial" w:cs="Arial" w:eastAsia="Arial" w:hAnsi="Arial"/>
                <w:b/>
                <w:bCs/>
                <w:color w:val="059669"/>
                <w:sz w:val="22"/>
                <w:szCs w:val="22"/>
              </w:rPr>
              <w:t xml:space="preserve">What Changed for the Customer</w:t>
            </w:r>
          </w:p>
          <w:p>
            <w:pPr>
              <w:spacing w:after="0" w:before="0"/>
            </w:pPr>
            <w:r>
              <w:rPr>
                <w:rFonts w:ascii="Arial" w:cs="Arial" w:eastAsia="Arial" w:hAnsi="Arial"/>
                <w:color w:val="1E293B"/>
                <w:sz w:val="22"/>
                <w:szCs w:val="22"/>
              </w:rPr>
              <w:t xml:space="preserve">Ahmed Hassan sent his email at 9 AM Cairo time. By 9:35 AM, he has a detailed, technically accurate reply from Look2Innovate recommending a specific product configuration, explaining why it fits his requirements, and inviting him to schedule a consultation. The competitor he emailed gets back to him at 4 PM with a generic brochure link. Look2Innovate wins the first impression and has a 35-50% statistical advantage in winning the deal, just from responding first with substance.</w:t>
            </w:r>
          </w:p>
        </w:tc>
      </w:tr>
    </w:tbl>
    <w:p>
      <w:pPr>
        <w:spacing w:after="120" w:before="0"/>
      </w:pPr>
      <w:r>
        <w:t xml:space="preserve"/>
      </w:r>
    </w:p>
    <w:p>
      <w:pPr>
        <w:pStyle w:val="Heading2"/>
        <w:spacing w:after="120" w:before="280"/>
      </w:pPr>
      <w:r>
        <w:rPr>
          <w:rFonts w:ascii="Arial" w:cs="Arial" w:eastAsia="Arial" w:hAnsi="Arial"/>
          <w:b/>
          <w:bCs/>
          <w:color w:val="2563EB"/>
          <w:sz w:val="28"/>
          <w:szCs w:val="28"/>
        </w:rPr>
        <w:t xml:space="preserve">5.6 What Changed for Look2Innovate</w:t>
      </w:r>
    </w:p>
    <w:p>
      <w:pPr>
        <w:spacing w:after="100" w:before="60"/>
      </w:pPr>
      <w:r>
        <w:rPr>
          <w:rFonts w:ascii="Arial" w:cs="Arial" w:eastAsia="Arial" w:hAnsi="Arial"/>
          <w:b w:val="false"/>
          <w:bCs w:val="false"/>
          <w:color w:val="334155"/>
          <w:sz w:val="22"/>
          <w:szCs w:val="22"/>
        </w:rPr>
        <w:t xml:space="preserve">Beyond this single email, the system changed the operations of the sales team:</w:t>
      </w:r>
    </w:p>
    <w:p>
      <w:pPr>
        <w:pStyle w:val="ListParagraph"/>
        <w:numPr>
          <w:ilvl w:val="0"/>
          <w:numId w:val="2"/>
        </w:numPr>
        <w:spacing w:after="40" w:before="40"/>
      </w:pPr>
      <w:r>
        <w:rPr>
          <w:rFonts w:ascii="Arial" w:cs="Arial" w:eastAsia="Arial" w:hAnsi="Arial"/>
          <w:b w:val="false"/>
          <w:bCs w:val="false"/>
          <w:color w:val="334155"/>
          <w:sz w:val="22"/>
          <w:szCs w:val="22"/>
        </w:rPr>
        <w:t xml:space="preserve">The HubSpot CRM is updated automatically. The manager can see the Luxor Museum deal without anyone logging it manually.</w:t>
      </w:r>
    </w:p>
    <w:p>
      <w:pPr>
        <w:pStyle w:val="ListParagraph"/>
        <w:numPr>
          <w:ilvl w:val="0"/>
          <w:numId w:val="2"/>
        </w:numPr>
        <w:spacing w:after="40" w:before="40"/>
      </w:pPr>
      <w:r>
        <w:rPr>
          <w:rFonts w:ascii="Arial" w:cs="Arial" w:eastAsia="Arial" w:hAnsi="Arial"/>
          <w:b w:val="false"/>
          <w:bCs w:val="false"/>
          <w:color w:val="334155"/>
          <w:sz w:val="22"/>
          <w:szCs w:val="22"/>
        </w:rPr>
        <w:t xml:space="preserve">If Ahmed Hassan sends a follow-up email next week, the system will pull the full context of the previous conversation and the draft reply will reference the earlier recommendation.</w:t>
      </w:r>
    </w:p>
    <w:p>
      <w:pPr>
        <w:pStyle w:val="ListParagraph"/>
        <w:numPr>
          <w:ilvl w:val="0"/>
          <w:numId w:val="2"/>
        </w:numPr>
        <w:spacing w:after="40" w:before="40"/>
      </w:pPr>
      <w:r>
        <w:rPr>
          <w:rFonts w:ascii="Arial" w:cs="Arial" w:eastAsia="Arial" w:hAnsi="Arial"/>
          <w:b w:val="false"/>
          <w:bCs w:val="false"/>
          <w:color w:val="334155"/>
          <w:sz w:val="22"/>
          <w:szCs w:val="22"/>
        </w:rPr>
        <w:t xml:space="preserve">The engineer spent four minutes instead of ninety on this inquiry. They can now handle three times as many inquiries per day.</w:t>
      </w:r>
    </w:p>
    <w:p>
      <w:pPr>
        <w:pStyle w:val="ListParagraph"/>
        <w:numPr>
          <w:ilvl w:val="0"/>
          <w:numId w:val="2"/>
        </w:numPr>
        <w:spacing w:after="40" w:before="40"/>
      </w:pPr>
      <w:r>
        <w:rPr>
          <w:rFonts w:ascii="Arial" w:cs="Arial" w:eastAsia="Arial" w:hAnsi="Arial"/>
          <w:b w:val="false"/>
          <w:bCs w:val="false"/>
          <w:color w:val="334155"/>
          <w:sz w:val="22"/>
          <w:szCs w:val="22"/>
        </w:rPr>
        <w:t xml:space="preserve">The recommendation was consistent and technically vetted. It did not depend on which engineer happened to read the email.</w:t>
      </w:r>
    </w:p>
    <w:p>
      <w:pPr>
        <w:spacing w:after="240" w:before="0"/>
      </w:pPr>
      <w:r>
        <w:t xml:space="preserve"/>
      </w:r>
    </w:p>
    <w:p>
      <w:pPr>
        <w:pageBreakBefore/>
      </w:pPr>
      <w:r>
        <w:t xml:space="preserve"/>
      </w:r>
    </w:p>
    <w:p>
      <w:pPr>
        <w:pStyle w:val="Heading1"/>
        <w:spacing w:after="160" w:before="360"/>
      </w:pPr>
      <w:r>
        <w:rPr>
          <w:rFonts w:ascii="Arial" w:cs="Arial" w:eastAsia="Arial" w:hAnsi="Arial"/>
          <w:b/>
          <w:bCs/>
          <w:color w:val="1E293B"/>
          <w:sz w:val="36"/>
          <w:szCs w:val="36"/>
        </w:rPr>
        <w:t xml:space="preserve">6. Technology Stack</w:t>
      </w:r>
    </w:p>
    <w:p>
      <w:pPr>
        <w:spacing w:after="100" w:before="60"/>
      </w:pPr>
      <w:r>
        <w:rPr>
          <w:rFonts w:ascii="Arial" w:cs="Arial" w:eastAsia="Arial" w:hAnsi="Arial"/>
          <w:b w:val="false"/>
          <w:bCs w:val="false"/>
          <w:color w:val="334155"/>
          <w:sz w:val="22"/>
          <w:szCs w:val="22"/>
        </w:rPr>
        <w:t xml:space="preserve">Every technology choice in this project was made for a specific reason. This section explains each component and why it was selected.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1E3A5F" w:sz="8"/>
              <w:left w:val="single" w:color="1E3A5F" w:sz="8"/>
              <w:bottom w:val="single" w:color="1E3A5F" w:sz="8"/>
              <w:right w:val="single" w:color="1E3A5F" w:sz="8"/>
            </w:tcBorders>
            <w:shd w:fill="1E293B" w:val="clear"/>
            <w:tcMar>
              <w:top w:type="dxa" w:w="100"/>
              <w:left w:type="dxa" w:w="140"/>
              <w:bottom w:type="dxa" w:w="100"/>
              <w:right w:type="dxa" w:w="100"/>
            </w:tcMar>
          </w:tcPr>
          <w:p>
            <w:r>
              <w:rPr>
                <w:rFonts w:ascii="Arial" w:cs="Arial" w:eastAsia="Arial" w:hAnsi="Arial"/>
                <w:b/>
                <w:bCs/>
                <w:color w:val="FFFFFF"/>
                <w:sz w:val="20"/>
                <w:szCs w:val="20"/>
              </w:rPr>
              <w:t xml:space="preserve">Component</w:t>
            </w:r>
          </w:p>
        </w:tc>
        <w:tc>
          <w:tcPr>
            <w:tcW w:type="dxa" w:w="2200"/>
            <w:tcBorders>
              <w:top w:val="single" w:color="1E3A5F" w:sz="8"/>
              <w:left w:val="single" w:color="1E3A5F" w:sz="8"/>
              <w:bottom w:val="single" w:color="1E3A5F" w:sz="8"/>
              <w:right w:val="single" w:color="1E3A5F" w:sz="8"/>
            </w:tcBorders>
            <w:shd w:fill="1E293B" w:val="clear"/>
            <w:tcMar>
              <w:top w:type="dxa" w:w="100"/>
              <w:left w:type="dxa" w:w="140"/>
              <w:bottom w:type="dxa" w:w="100"/>
              <w:right w:type="dxa" w:w="100"/>
            </w:tcMar>
          </w:tcPr>
          <w:p>
            <w:r>
              <w:rPr>
                <w:rFonts w:ascii="Arial" w:cs="Arial" w:eastAsia="Arial" w:hAnsi="Arial"/>
                <w:b/>
                <w:bCs/>
                <w:color w:val="FFFFFF"/>
                <w:sz w:val="20"/>
                <w:szCs w:val="20"/>
              </w:rPr>
              <w:t xml:space="preserve">Technology</w:t>
            </w:r>
          </w:p>
        </w:tc>
        <w:tc>
          <w:tcPr>
            <w:tcW w:type="dxa" w:w="5360"/>
            <w:tcBorders>
              <w:top w:val="single" w:color="1E3A5F" w:sz="8"/>
              <w:left w:val="single" w:color="1E3A5F" w:sz="8"/>
              <w:bottom w:val="single" w:color="1E3A5F" w:sz="8"/>
              <w:right w:val="single" w:color="1E3A5F" w:sz="8"/>
            </w:tcBorders>
            <w:shd w:fill="1E293B" w:val="clear"/>
            <w:tcMar>
              <w:top w:type="dxa" w:w="100"/>
              <w:left w:type="dxa" w:w="140"/>
              <w:bottom w:type="dxa" w:w="100"/>
              <w:right w:type="dxa" w:w="100"/>
            </w:tcMar>
          </w:tcPr>
          <w:p>
            <w:r>
              <w:rPr>
                <w:rFonts w:ascii="Arial" w:cs="Arial" w:eastAsia="Arial" w:hAnsi="Arial"/>
                <w:b/>
                <w:bCs/>
                <w:color w:val="FFFFFF"/>
                <w:sz w:val="20"/>
                <w:szCs w:val="20"/>
              </w:rPr>
              <w:t xml:space="preserve">Why This Choice</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Backend server</w:t>
            </w:r>
          </w:p>
        </w:tc>
        <w:tc>
          <w:tcPr>
            <w:tcW w:type="dxa" w:w="2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Node.js (Express)</w:t>
            </w:r>
          </w:p>
        </w:tc>
        <w:tc>
          <w:tcPr>
            <w:tcW w:type="dxa" w:w="5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Same language as LangChain.js, enabling the backend and AI layers to share code and types. The team already knows JavaScript from ITI coursework.</w:t>
            </w:r>
          </w:p>
        </w:tc>
      </w:tr>
      <w:tr>
        <w:tc>
          <w:tcPr>
            <w:tcW w:type="dxa" w:w="18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Client memory store</w:t>
            </w:r>
          </w:p>
        </w:tc>
        <w:tc>
          <w:tcPr>
            <w:tcW w:type="dxa" w:w="2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MongoDB</w:t>
            </w:r>
          </w:p>
        </w:tc>
        <w:tc>
          <w:tcPr>
            <w:tcW w:type="dxa" w:w="53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Client data is semi-structured. Every email extracts different fields. MongoDB handles this naturally without rigid schemas. Already covered in the ITI curriculum.</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Email integration</w:t>
            </w:r>
          </w:p>
        </w:tc>
        <w:tc>
          <w:tcPr>
            <w:tcW w:type="dxa" w:w="2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Gmail API</w:t>
            </w:r>
          </w:p>
        </w:tc>
        <w:tc>
          <w:tcPr>
            <w:tcW w:type="dxa" w:w="5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Provides OAuth authentication, email polling, and send/draft functionality. Official Google API with strong documentation and a free tier for development.</w:t>
            </w:r>
          </w:p>
        </w:tc>
      </w:tr>
      <w:tr>
        <w:tc>
          <w:tcPr>
            <w:tcW w:type="dxa" w:w="18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CRM sync</w:t>
            </w:r>
          </w:p>
        </w:tc>
        <w:tc>
          <w:tcPr>
            <w:tcW w:type="dxa" w:w="2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HubSpot Node.js SDK</w:t>
            </w:r>
          </w:p>
        </w:tc>
        <w:tc>
          <w:tcPr>
            <w:tcW w:type="dxa" w:w="53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Official SDK for creating contacts, deals, and notes. Requires only 50-100 lines of code for the core sync functionality. Free tier covers all demo needs.</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LLM for complex tasks</w:t>
            </w:r>
          </w:p>
        </w:tc>
        <w:tc>
          <w:tcPr>
            <w:tcW w:type="dxa" w:w="2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OpenAI GPT-4</w:t>
            </w:r>
          </w:p>
        </w:tc>
        <w:tc>
          <w:tcPr>
            <w:tcW w:type="dxa" w:w="5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Highest quality available for product matching and draft composition, where accuracy matters more than cost.</w:t>
            </w:r>
          </w:p>
        </w:tc>
      </w:tr>
      <w:tr>
        <w:tc>
          <w:tcPr>
            <w:tcW w:type="dxa" w:w="18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LLM for simple tasks</w:t>
            </w:r>
          </w:p>
        </w:tc>
        <w:tc>
          <w:tcPr>
            <w:tcW w:type="dxa" w:w="2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OpenAI GPT-4o-mini</w:t>
            </w:r>
          </w:p>
        </w:tc>
        <w:tc>
          <w:tcPr>
            <w:tcW w:type="dxa" w:w="53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Much cheaper per token than GPT-4. Classification and extraction do not require GPT-4 quality. Using two models is a real cost optimization strategy.</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Agent orchestration</w:t>
            </w:r>
          </w:p>
        </w:tc>
        <w:tc>
          <w:tcPr>
            <w:tcW w:type="dxa" w:w="2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LangChain.js</w:t>
            </w:r>
          </w:p>
        </w:tc>
        <w:tc>
          <w:tcPr>
            <w:tcW w:type="dxa" w:w="5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Provides pre-built patterns for multi-agent pipelines, tool calling, and memory. Reduces boilerplate by hundreds of lines compared to raw API calls.</w:t>
            </w:r>
          </w:p>
        </w:tc>
      </w:tr>
      <w:tr>
        <w:tc>
          <w:tcPr>
            <w:tcW w:type="dxa" w:w="18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Vector database</w:t>
            </w:r>
          </w:p>
        </w:tc>
        <w:tc>
          <w:tcPr>
            <w:tcW w:type="dxa" w:w="2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Pinecone (prod) / Chroma (dev)</w:t>
            </w:r>
          </w:p>
        </w:tc>
        <w:tc>
          <w:tcPr>
            <w:tcW w:type="dxa" w:w="53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Chroma runs locally for free during development. Pinecone provides cloud hosting for the production deployment. Both support hybrid retrieval.</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Observability</w:t>
            </w:r>
          </w:p>
        </w:tc>
        <w:tc>
          <w:tcPr>
            <w:tcW w:type="dxa" w:w="2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Langfuse</w:t>
            </w:r>
          </w:p>
        </w:tc>
        <w:tc>
          <w:tcPr>
            <w:tcW w:type="dxa" w:w="5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Logs every LLM call, every agent decision, and every token used. Essential for debugging AI pipelines and running RAGAS evaluations.</w:t>
            </w:r>
          </w:p>
        </w:tc>
      </w:tr>
      <w:tr>
        <w:tc>
          <w:tcPr>
            <w:tcW w:type="dxa" w:w="18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Engineer interface</w:t>
            </w:r>
          </w:p>
        </w:tc>
        <w:tc>
          <w:tcPr>
            <w:tcW w:type="dxa" w:w="2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Gmail Add-on (Apps Script)</w:t>
            </w:r>
          </w:p>
        </w:tc>
        <w:tc>
          <w:tcPr>
            <w:tcW w:type="dxa" w:w="53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Renders a sidebar inside Gmail using Google's card UI framework. The engineer never leaves their inbox.</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Admin interface</w:t>
            </w:r>
          </w:p>
        </w:tc>
        <w:tc>
          <w:tcPr>
            <w:tcW w:type="dxa" w:w="2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React + Next.js + Tailwind</w:t>
            </w:r>
          </w:p>
        </w:tc>
        <w:tc>
          <w:tcPr>
            <w:tcW w:type="dxa" w:w="5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Standard modern web stack the team knows. Four pages: setup, activity feed, client pipeline, metrics.</w:t>
            </w:r>
          </w:p>
        </w:tc>
      </w:tr>
      <w:tr>
        <w:tc>
          <w:tcPr>
            <w:tcW w:type="dxa" w:w="18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Containerization</w:t>
            </w:r>
          </w:p>
        </w:tc>
        <w:tc>
          <w:tcPr>
            <w:tcW w:type="dxa" w:w="2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Docker</w:t>
            </w:r>
          </w:p>
        </w:tc>
        <w:tc>
          <w:tcPr>
            <w:tcW w:type="dxa" w:w="53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Packages the backend into a container for consistent deployment across environments.</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CI/CD</w:t>
            </w:r>
          </w:p>
        </w:tc>
        <w:tc>
          <w:tcPr>
            <w:tcW w:type="dxa" w:w="2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GitHub Actions</w:t>
            </w:r>
          </w:p>
        </w:tc>
        <w:tc>
          <w:tcPr>
            <w:tcW w:type="dxa" w:w="5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Runs tests on every commit. Required by the ITI checklist. Straightforward to configure.</w:t>
            </w:r>
          </w:p>
        </w:tc>
      </w:tr>
      <w:tr>
        <w:tc>
          <w:tcPr>
            <w:tcW w:type="dxa" w:w="18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Cloud deployment</w:t>
            </w:r>
          </w:p>
        </w:tc>
        <w:tc>
          <w:tcPr>
            <w:tcW w:type="dxa" w:w="2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Railway (simple) / AWS (advanced)</w:t>
            </w:r>
          </w:p>
        </w:tc>
        <w:tc>
          <w:tcPr>
            <w:tcW w:type="dxa" w:w="53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Railway allows one-click deployment and is easier to manage within a four-week timeline. AWS is more impressive for evaluators but requires more setup time.</w:t>
            </w:r>
          </w:p>
        </w:tc>
      </w:tr>
    </w:tbl>
    <w:p>
      <w:pPr>
        <w:spacing w:after="240" w:before="0"/>
      </w:pPr>
      <w:r>
        <w:t xml:space="preserve"/>
      </w:r>
    </w:p>
    <w:p>
      <w:pPr>
        <w:pageBreakBefore/>
      </w:pPr>
      <w:r>
        <w:t xml:space="preserve"/>
      </w:r>
    </w:p>
    <w:p>
      <w:pPr>
        <w:pStyle w:val="Heading1"/>
        <w:spacing w:after="160" w:before="360"/>
      </w:pPr>
      <w:r>
        <w:rPr>
          <w:rFonts w:ascii="Arial" w:cs="Arial" w:eastAsia="Arial" w:hAnsi="Arial"/>
          <w:b/>
          <w:bCs/>
          <w:color w:val="1E293B"/>
          <w:sz w:val="36"/>
          <w:szCs w:val="36"/>
        </w:rPr>
        <w:t xml:space="preserve">7. Feasibility Study</w:t>
      </w:r>
    </w:p>
    <w:p>
      <w:pPr>
        <w:pStyle w:val="Heading2"/>
        <w:spacing w:after="120" w:before="280"/>
      </w:pPr>
      <w:r>
        <w:rPr>
          <w:rFonts w:ascii="Arial" w:cs="Arial" w:eastAsia="Arial" w:hAnsi="Arial"/>
          <w:b/>
          <w:bCs/>
          <w:color w:val="2563EB"/>
          <w:sz w:val="28"/>
          <w:szCs w:val="28"/>
        </w:rPr>
        <w:t xml:space="preserve">7.1 Technical Feasibility</w:t>
      </w:r>
    </w:p>
    <w:p>
      <w:pPr>
        <w:spacing w:after="100" w:before="60"/>
      </w:pPr>
      <w:r>
        <w:rPr>
          <w:rFonts w:ascii="Arial" w:cs="Arial" w:eastAsia="Arial" w:hAnsi="Arial"/>
          <w:b w:val="false"/>
          <w:bCs w:val="false"/>
          <w:color w:val="334155"/>
          <w:sz w:val="22"/>
          <w:szCs w:val="22"/>
        </w:rPr>
        <w:t xml:space="preserve">Every component of this system uses mature, well-documented APIs and frameworks. None of the technical work requires novel research or experimental technology. The specific risks are: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1E3A5F" w:sz="8"/>
              <w:left w:val="single" w:color="1E3A5F" w:sz="8"/>
              <w:bottom w:val="single" w:color="1E3A5F" w:sz="8"/>
              <w:right w:val="single" w:color="1E3A5F" w:sz="8"/>
            </w:tcBorders>
            <w:shd w:fill="1E293B" w:val="clear"/>
            <w:tcMar>
              <w:top w:type="dxa" w:w="100"/>
              <w:left w:type="dxa" w:w="140"/>
              <w:bottom w:type="dxa" w:w="100"/>
              <w:right w:type="dxa" w:w="100"/>
            </w:tcMar>
          </w:tcPr>
          <w:p>
            <w:r>
              <w:rPr>
                <w:rFonts w:ascii="Arial" w:cs="Arial" w:eastAsia="Arial" w:hAnsi="Arial"/>
                <w:b/>
                <w:bCs/>
                <w:color w:val="FFFFFF"/>
                <w:sz w:val="20"/>
                <w:szCs w:val="20"/>
              </w:rPr>
              <w:t xml:space="preserve">Risk</w:t>
            </w:r>
          </w:p>
        </w:tc>
        <w:tc>
          <w:tcPr>
            <w:tcW w:type="dxa" w:w="1200"/>
            <w:tcBorders>
              <w:top w:val="single" w:color="1E3A5F" w:sz="8"/>
              <w:left w:val="single" w:color="1E3A5F" w:sz="8"/>
              <w:bottom w:val="single" w:color="1E3A5F" w:sz="8"/>
              <w:right w:val="single" w:color="1E3A5F" w:sz="8"/>
            </w:tcBorders>
            <w:shd w:fill="1E293B" w:val="clear"/>
            <w:tcMar>
              <w:top w:type="dxa" w:w="100"/>
              <w:left w:type="dxa" w:w="140"/>
              <w:bottom w:type="dxa" w:w="100"/>
              <w:right w:type="dxa" w:w="100"/>
            </w:tcMar>
          </w:tcPr>
          <w:p>
            <w:r>
              <w:rPr>
                <w:rFonts w:ascii="Arial" w:cs="Arial" w:eastAsia="Arial" w:hAnsi="Arial"/>
                <w:b/>
                <w:bCs/>
                <w:color w:val="FFFFFF"/>
                <w:sz w:val="20"/>
                <w:szCs w:val="20"/>
              </w:rPr>
              <w:t xml:space="preserve">Severity</w:t>
            </w:r>
          </w:p>
        </w:tc>
        <w:tc>
          <w:tcPr>
            <w:tcW w:type="dxa" w:w="5760"/>
            <w:tcBorders>
              <w:top w:val="single" w:color="1E3A5F" w:sz="8"/>
              <w:left w:val="single" w:color="1E3A5F" w:sz="8"/>
              <w:bottom w:val="single" w:color="1E3A5F" w:sz="8"/>
              <w:right w:val="single" w:color="1E3A5F" w:sz="8"/>
            </w:tcBorders>
            <w:shd w:fill="1E293B" w:val="clear"/>
            <w:tcMar>
              <w:top w:type="dxa" w:w="100"/>
              <w:left w:type="dxa" w:w="140"/>
              <w:bottom w:type="dxa" w:w="100"/>
              <w:right w:type="dxa" w:w="100"/>
            </w:tcMar>
          </w:tcPr>
          <w:p>
            <w:r>
              <w:rPr>
                <w:rFonts w:ascii="Arial" w:cs="Arial" w:eastAsia="Arial" w:hAnsi="Arial"/>
                <w:b/>
                <w:bCs/>
                <w:color w:val="FFFFFF"/>
                <w:sz w:val="20"/>
                <w:szCs w:val="20"/>
              </w:rPr>
              <w:t xml:space="preserve">Mitigation</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RAG accuracy for product matching below acceptable level on first attempt</w:t>
            </w:r>
          </w:p>
        </w:tc>
        <w:tc>
          <w:tcPr>
            <w:tcW w:type="dxa" w:w="1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High</w:t>
            </w:r>
          </w:p>
        </w:tc>
        <w:tc>
          <w:tcPr>
            <w:tcW w:type="dxa" w:w="57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Build a golden dataset of 50+ test cases from day one. Run RAGAS evaluations after every prompt change. Budget two full days in Week 2 for prompt engineering iteration.</w:t>
            </w:r>
          </w:p>
        </w:tc>
      </w:tr>
      <w:tr>
        <w:tc>
          <w:tcPr>
            <w:tcW w:type="dxa" w:w="24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Gmail Add-on card UI has a learning curve different from React</w:t>
            </w:r>
          </w:p>
        </w:tc>
        <w:tc>
          <w:tcPr>
            <w:tcW w:type="dxa" w:w="1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Medium</w:t>
            </w:r>
          </w:p>
        </w:tc>
        <w:tc>
          <w:tcPr>
            <w:tcW w:type="dxa" w:w="57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Assign one team member exclusively to the Add-on. Start with a minimal card that shows classification and requirements. Add features incrementally.</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HubSpot OAuth setup takes longer than expected</w:t>
            </w:r>
          </w:p>
        </w:tc>
        <w:tc>
          <w:tcPr>
            <w:tcW w:type="dxa" w:w="1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Low</w:t>
            </w:r>
          </w:p>
        </w:tc>
        <w:tc>
          <w:tcPr>
            <w:tcW w:type="dxa" w:w="57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HubSpot provides a sandbox account for development. Private app access tokens bypass OAuth for internal use, reducing setup time significantly.</w:t>
            </w:r>
          </w:p>
        </w:tc>
      </w:tr>
      <w:tr>
        <w:tc>
          <w:tcPr>
            <w:tcW w:type="dxa" w:w="24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OpenAI API costs exceed budget during testing</w:t>
            </w:r>
          </w:p>
        </w:tc>
        <w:tc>
          <w:tcPr>
            <w:tcW w:type="dxa" w:w="1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Low</w:t>
            </w:r>
          </w:p>
        </w:tc>
        <w:tc>
          <w:tcPr>
            <w:tcW w:type="dxa" w:w="57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Use GPT-4o-mini for all development and testing. Switch to GPT-4 only for final demo and evaluation runs.</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Agent pipeline produces inconsistent outputs across runs</w:t>
            </w:r>
          </w:p>
        </w:tc>
        <w:tc>
          <w:tcPr>
            <w:tcW w:type="dxa" w:w="1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Medium</w:t>
            </w:r>
          </w:p>
        </w:tc>
        <w:tc>
          <w:tcPr>
            <w:tcW w:type="dxa" w:w="57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Set temperature to 0 for all structured extraction steps. Use schema validation on extracted JSON. Add retry logic for malformed outputs.</w:t>
            </w:r>
          </w:p>
        </w:tc>
      </w:tr>
    </w:tbl>
    <w:p>
      <w:pPr>
        <w:spacing w:after="240" w:before="0"/>
      </w:pPr>
      <w:r>
        <w:t xml:space="preserve"/>
      </w:r>
    </w:p>
    <w:p>
      <w:pPr>
        <w:pStyle w:val="Heading2"/>
        <w:spacing w:after="120" w:before="280"/>
      </w:pPr>
      <w:r>
        <w:rPr>
          <w:rFonts w:ascii="Arial" w:cs="Arial" w:eastAsia="Arial" w:hAnsi="Arial"/>
          <w:b/>
          <w:bCs/>
          <w:color w:val="2563EB"/>
          <w:sz w:val="28"/>
          <w:szCs w:val="28"/>
        </w:rPr>
        <w:t xml:space="preserve">7.2 Timeline Feasibility</w:t>
      </w:r>
    </w:p>
    <w:p>
      <w:pPr>
        <w:spacing w:after="100" w:before="60"/>
      </w:pPr>
      <w:r>
        <w:rPr>
          <w:rFonts w:ascii="Arial" w:cs="Arial" w:eastAsia="Arial" w:hAnsi="Arial"/>
          <w:b w:val="false"/>
          <w:bCs w:val="false"/>
          <w:color w:val="334155"/>
          <w:sz w:val="22"/>
          <w:szCs w:val="22"/>
        </w:rPr>
        <w:t xml:space="preserve">The four-week timeline is tight but achievable because the scope is clearly bounded. The system does one thing in depth (product inquiry handling) and several things in breadth (routing other email types). The routing functionality requires very little engineering compared to the full pipeline. Week 4 is dedicated to testing and polish, which is realistic if the core functionality is complete by end of Week 3.</w:t>
      </w:r>
    </w:p>
    <w:p>
      <w:pPr>
        <w:spacing w:after="120" w:before="0"/>
      </w:pPr>
      <w:r>
        <w:t xml:space="preserve"/>
      </w:r>
    </w:p>
    <w:p>
      <w:pPr>
        <w:pStyle w:val="Heading2"/>
        <w:spacing w:after="120" w:before="280"/>
      </w:pPr>
      <w:r>
        <w:rPr>
          <w:rFonts w:ascii="Arial" w:cs="Arial" w:eastAsia="Arial" w:hAnsi="Arial"/>
          <w:b/>
          <w:bCs/>
          <w:color w:val="2563EB"/>
          <w:sz w:val="28"/>
          <w:szCs w:val="28"/>
        </w:rPr>
        <w:t xml:space="preserve">7.3 Team Feasibility</w:t>
      </w:r>
    </w:p>
    <w:p>
      <w:pPr>
        <w:spacing w:after="100" w:before="60"/>
      </w:pPr>
      <w:r>
        <w:rPr>
          <w:rFonts w:ascii="Arial" w:cs="Arial" w:eastAsia="Arial" w:hAnsi="Arial"/>
          <w:b w:val="false"/>
          <w:bCs w:val="false"/>
          <w:color w:val="334155"/>
          <w:sz w:val="22"/>
          <w:szCs w:val="22"/>
        </w:rPr>
        <w:t xml:space="preserve">The team has six members covering the required skill areas: Node.js backend, React frontend, Python/JS for AI integration, Gmail API, and DevOps. The risk is coordination and integration, not individual capability. The mitigation is clear role ownership and a shared Trello board with daily check-ins.</w:t>
      </w:r>
    </w:p>
    <w:p>
      <w:pPr>
        <w:spacing w:after="120" w:before="0"/>
      </w:pPr>
      <w:r>
        <w:t xml:space="preserve"/>
      </w:r>
    </w:p>
    <w:p>
      <w:pPr>
        <w:pStyle w:val="Heading2"/>
        <w:spacing w:after="120" w:before="280"/>
      </w:pPr>
      <w:r>
        <w:rPr>
          <w:rFonts w:ascii="Arial" w:cs="Arial" w:eastAsia="Arial" w:hAnsi="Arial"/>
          <w:b/>
          <w:bCs/>
          <w:color w:val="2563EB"/>
          <w:sz w:val="28"/>
          <w:szCs w:val="28"/>
        </w:rPr>
        <w:t xml:space="preserve">7.4 Feasibility Verdict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rPr>
          <w:tblHeader/>
        </w:trPr>
        <w:tc>
          <w:tcPr>
            <w:tcW w:type="dxa" w:w="2800"/>
            <w:tcBorders>
              <w:top w:val="single" w:color="1E3A5F" w:sz="8"/>
              <w:left w:val="single" w:color="1E3A5F" w:sz="8"/>
              <w:bottom w:val="single" w:color="1E3A5F" w:sz="8"/>
              <w:right w:val="single" w:color="1E3A5F" w:sz="8"/>
            </w:tcBorders>
            <w:shd w:fill="1E293B" w:val="clear"/>
            <w:tcMar>
              <w:top w:type="dxa" w:w="100"/>
              <w:left w:type="dxa" w:w="140"/>
              <w:bottom w:type="dxa" w:w="100"/>
              <w:right w:type="dxa" w:w="100"/>
            </w:tcMar>
          </w:tcPr>
          <w:p>
            <w:r>
              <w:rPr>
                <w:rFonts w:ascii="Arial" w:cs="Arial" w:eastAsia="Arial" w:hAnsi="Arial"/>
                <w:b/>
                <w:bCs/>
                <w:color w:val="FFFFFF"/>
                <w:sz w:val="20"/>
                <w:szCs w:val="20"/>
              </w:rPr>
              <w:t xml:space="preserve">Dimension</w:t>
            </w:r>
          </w:p>
        </w:tc>
        <w:tc>
          <w:tcPr>
            <w:tcW w:type="dxa" w:w="4200"/>
            <w:tcBorders>
              <w:top w:val="single" w:color="1E3A5F" w:sz="8"/>
              <w:left w:val="single" w:color="1E3A5F" w:sz="8"/>
              <w:bottom w:val="single" w:color="1E3A5F" w:sz="8"/>
              <w:right w:val="single" w:color="1E3A5F" w:sz="8"/>
            </w:tcBorders>
            <w:shd w:fill="1E293B" w:val="clear"/>
            <w:tcMar>
              <w:top w:type="dxa" w:w="100"/>
              <w:left w:type="dxa" w:w="140"/>
              <w:bottom w:type="dxa" w:w="100"/>
              <w:right w:type="dxa" w:w="100"/>
            </w:tcMar>
          </w:tcPr>
          <w:p>
            <w:r>
              <w:rPr>
                <w:rFonts w:ascii="Arial" w:cs="Arial" w:eastAsia="Arial" w:hAnsi="Arial"/>
                <w:b/>
                <w:bCs/>
                <w:color w:val="FFFFFF"/>
                <w:sz w:val="20"/>
                <w:szCs w:val="20"/>
              </w:rPr>
              <w:t xml:space="preserve">Assessment</w:t>
            </w:r>
          </w:p>
        </w:tc>
        <w:tc>
          <w:tcPr>
            <w:tcW w:type="dxa" w:w="2360"/>
            <w:tcBorders>
              <w:top w:val="single" w:color="1E3A5F" w:sz="8"/>
              <w:left w:val="single" w:color="1E3A5F" w:sz="8"/>
              <w:bottom w:val="single" w:color="1E3A5F" w:sz="8"/>
              <w:right w:val="single" w:color="1E3A5F" w:sz="8"/>
            </w:tcBorders>
            <w:shd w:fill="1E293B" w:val="clear"/>
            <w:tcMar>
              <w:top w:type="dxa" w:w="100"/>
              <w:left w:type="dxa" w:w="140"/>
              <w:bottom w:type="dxa" w:w="100"/>
              <w:right w:type="dxa" w:w="100"/>
            </w:tcMar>
          </w:tcPr>
          <w:p>
            <w:r>
              <w:rPr>
                <w:rFonts w:ascii="Arial" w:cs="Arial" w:eastAsia="Arial" w:hAnsi="Arial"/>
                <w:b/>
                <w:bCs/>
                <w:color w:val="FFFFFF"/>
                <w:sz w:val="20"/>
                <w:szCs w:val="20"/>
              </w:rPr>
              <w:t xml:space="preserve">Confidence</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Technical — Can it be built?</w:t>
            </w:r>
          </w:p>
        </w:tc>
        <w:tc>
          <w:tcPr>
            <w:tcW w:type="dxa" w:w="4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Yes. All components are mature and well-documented.</w:t>
            </w:r>
          </w:p>
        </w:tc>
        <w:tc>
          <w:tcPr>
            <w:tcW w:type="dxa" w:w="2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High</w:t>
            </w:r>
          </w:p>
        </w:tc>
      </w:tr>
      <w:tr>
        <w:tc>
          <w:tcPr>
            <w:tcW w:type="dxa" w:w="28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Timeline — Can it be done in 4 weeks?</w:t>
            </w:r>
          </w:p>
        </w:tc>
        <w:tc>
          <w:tcPr>
            <w:tcW w:type="dxa" w:w="4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Yes, with clear scope management and no scope creep.</w:t>
            </w:r>
          </w:p>
        </w:tc>
        <w:tc>
          <w:tcPr>
            <w:tcW w:type="dxa" w:w="23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Medium</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Team — Do we have the skills?</w:t>
            </w:r>
          </w:p>
        </w:tc>
        <w:tc>
          <w:tcPr>
            <w:tcW w:type="dxa" w:w="4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Yes. All required skills are present across the team.</w:t>
            </w:r>
          </w:p>
        </w:tc>
        <w:tc>
          <w:tcPr>
            <w:tcW w:type="dxa" w:w="2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High</w:t>
            </w:r>
          </w:p>
        </w:tc>
      </w:tr>
      <w:tr>
        <w:tc>
          <w:tcPr>
            <w:tcW w:type="dxa" w:w="28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Demo — Can we show clear value?</w:t>
            </w:r>
          </w:p>
        </w:tc>
        <w:tc>
          <w:tcPr>
            <w:tcW w:type="dxa" w:w="4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Yes. The Look2Innovate use case is concrete and compelling.</w:t>
            </w:r>
          </w:p>
        </w:tc>
        <w:tc>
          <w:tcPr>
            <w:tcW w:type="dxa" w:w="23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High</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CRM integration — Is it worth the effort?</w:t>
            </w:r>
          </w:p>
        </w:tc>
        <w:tc>
          <w:tcPr>
            <w:tcW w:type="dxa" w:w="4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Yes. 2-3 days of effort, significant impact on evaluators.</w:t>
            </w:r>
          </w:p>
        </w:tc>
        <w:tc>
          <w:tcPr>
            <w:tcW w:type="dxa" w:w="2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High</w:t>
            </w:r>
          </w:p>
        </w:tc>
      </w:tr>
    </w:tbl>
    <w:p>
      <w:pPr>
        <w:spacing w:after="240" w:before="0"/>
      </w:pPr>
      <w:r>
        <w:t xml:space="preserve"/>
      </w:r>
    </w:p>
    <w:p>
      <w:pPr>
        <w:pageBreakBefore/>
      </w:pPr>
      <w:r>
        <w:t xml:space="preserve"/>
      </w:r>
    </w:p>
    <w:p>
      <w:pPr>
        <w:pStyle w:val="Heading1"/>
        <w:spacing w:after="160" w:before="360"/>
      </w:pPr>
      <w:r>
        <w:rPr>
          <w:rFonts w:ascii="Arial" w:cs="Arial" w:eastAsia="Arial" w:hAnsi="Arial"/>
          <w:b/>
          <w:bCs/>
          <w:color w:val="1E293B"/>
          <w:sz w:val="36"/>
          <w:szCs w:val="36"/>
        </w:rPr>
        <w:t xml:space="preserve">8. Execution Plan</w:t>
      </w:r>
    </w:p>
    <w:p>
      <w:pPr>
        <w:pStyle w:val="Heading2"/>
        <w:spacing w:after="120" w:before="280"/>
      </w:pPr>
      <w:r>
        <w:rPr>
          <w:rFonts w:ascii="Arial" w:cs="Arial" w:eastAsia="Arial" w:hAnsi="Arial"/>
          <w:b/>
          <w:bCs/>
          <w:color w:val="2563EB"/>
          <w:sz w:val="28"/>
          <w:szCs w:val="28"/>
        </w:rPr>
        <w:t xml:space="preserve">8.1 Team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E3A5F" w:sz="8"/>
              <w:left w:val="single" w:color="1E3A5F" w:sz="8"/>
              <w:bottom w:val="single" w:color="1E3A5F" w:sz="8"/>
              <w:right w:val="single" w:color="1E3A5F" w:sz="8"/>
            </w:tcBorders>
            <w:shd w:fill="1E293B" w:val="clear"/>
            <w:tcMar>
              <w:top w:type="dxa" w:w="100"/>
              <w:left w:type="dxa" w:w="140"/>
              <w:bottom w:type="dxa" w:w="100"/>
              <w:right w:type="dxa" w:w="100"/>
            </w:tcMar>
          </w:tcPr>
          <w:p>
            <w:r>
              <w:rPr>
                <w:rFonts w:ascii="Arial" w:cs="Arial" w:eastAsia="Arial" w:hAnsi="Arial"/>
                <w:b/>
                <w:bCs/>
                <w:color w:val="FFFFFF"/>
                <w:sz w:val="20"/>
                <w:szCs w:val="20"/>
              </w:rPr>
              <w:t xml:space="preserve">Member</w:t>
            </w:r>
          </w:p>
        </w:tc>
        <w:tc>
          <w:tcPr>
            <w:tcW w:type="dxa" w:w="7360"/>
            <w:tcBorders>
              <w:top w:val="single" w:color="1E3A5F" w:sz="8"/>
              <w:left w:val="single" w:color="1E3A5F" w:sz="8"/>
              <w:bottom w:val="single" w:color="1E3A5F" w:sz="8"/>
              <w:right w:val="single" w:color="1E3A5F" w:sz="8"/>
            </w:tcBorders>
            <w:shd w:fill="1E293B" w:val="clear"/>
            <w:tcMar>
              <w:top w:type="dxa" w:w="100"/>
              <w:left w:type="dxa" w:w="140"/>
              <w:bottom w:type="dxa" w:w="100"/>
              <w:right w:type="dxa" w:w="100"/>
            </w:tcMar>
          </w:tcPr>
          <w:p>
            <w:r>
              <w:rPr>
                <w:rFonts w:ascii="Arial" w:cs="Arial" w:eastAsia="Arial" w:hAnsi="Arial"/>
                <w:b/>
                <w:bCs/>
                <w:color w:val="FFFFFF"/>
                <w:sz w:val="20"/>
                <w:szCs w:val="20"/>
              </w:rPr>
              <w:t xml:space="preserve">Primary Ownership</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Member 1</w:t>
            </w:r>
          </w:p>
        </w:tc>
        <w:tc>
          <w:tcPr>
            <w:tcW w:type="dxa" w:w="7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Email Integration — Gmail API, OAuth, polling, send and draft functionality</w:t>
            </w:r>
          </w:p>
        </w:tc>
      </w:tr>
      <w:tr>
        <w:tc>
          <w:tcPr>
            <w:tcW w:type="dxa" w:w="20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Member 2</w:t>
            </w:r>
          </w:p>
        </w:tc>
        <w:tc>
          <w:tcPr>
            <w:tcW w:type="dxa" w:w="73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AI Agent Pipeline — LangChain.js, five-agent system, self-reflection logic</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Member 3</w:t>
            </w:r>
          </w:p>
        </w:tc>
        <w:tc>
          <w:tcPr>
            <w:tcW w:type="dxa" w:w="7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RAG Knowledge Engine — vector database ingestion, hybrid retrieval, reranking</w:t>
            </w:r>
          </w:p>
        </w:tc>
      </w:tr>
      <w:tr>
        <w:tc>
          <w:tcPr>
            <w:tcW w:type="dxa" w:w="20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Member 4</w:t>
            </w:r>
          </w:p>
        </w:tc>
        <w:tc>
          <w:tcPr>
            <w:tcW w:type="dxa" w:w="73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Frontend — Gmail Add-on sidebar, React admin dashboard</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Member 5</w:t>
            </w:r>
          </w:p>
        </w:tc>
        <w:tc>
          <w:tcPr>
            <w:tcW w:type="dxa" w:w="7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CRM and Client Store — HubSpot SDK integration, MongoDB client context</w:t>
            </w:r>
          </w:p>
        </w:tc>
      </w:tr>
      <w:tr>
        <w:tc>
          <w:tcPr>
            <w:tcW w:type="dxa" w:w="20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Member 6</w:t>
            </w:r>
          </w:p>
        </w:tc>
        <w:tc>
          <w:tcPr>
            <w:tcW w:type="dxa" w:w="73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Testing, DevOps — 50+ test cases, Docker, GitHub Actions, cloud deployment</w:t>
            </w:r>
          </w:p>
        </w:tc>
      </w:tr>
    </w:tbl>
    <w:p>
      <w:pPr>
        <w:spacing w:after="120" w:before="0"/>
      </w:pPr>
      <w:r>
        <w:t xml:space="preserve"/>
      </w:r>
    </w:p>
    <w:p>
      <w:pPr>
        <w:spacing w:after="100" w:before="60"/>
      </w:pPr>
      <w:r>
        <w:rPr>
          <w:rFonts w:ascii="Arial" w:cs="Arial" w:eastAsia="Arial" w:hAnsi="Arial"/>
          <w:b w:val="false"/>
          <w:bCs w:val="false"/>
          <w:color w:val="334155"/>
          <w:sz w:val="22"/>
          <w:szCs w:val="22"/>
        </w:rPr>
        <w:t xml:space="preserve">All six members contribute to prompt engineering. The quality of the AI outputs depends directly on how well the prompts are written, and that requires domain knowledge and testing iterations that benefit from multiple perspectives.</w:t>
      </w:r>
    </w:p>
    <w:p>
      <w:pPr>
        <w:spacing w:after="240" w:before="0"/>
      </w:pPr>
      <w:r>
        <w:t xml:space="preserve"/>
      </w:r>
    </w:p>
    <w:p>
      <w:pPr>
        <w:pStyle w:val="Heading2"/>
        <w:spacing w:after="120" w:before="280"/>
      </w:pPr>
      <w:r>
        <w:rPr>
          <w:rFonts w:ascii="Arial" w:cs="Arial" w:eastAsia="Arial" w:hAnsi="Arial"/>
          <w:b/>
          <w:bCs/>
          <w:color w:val="2563EB"/>
          <w:sz w:val="28"/>
          <w:szCs w:val="28"/>
        </w:rPr>
        <w:t xml:space="preserve">8.2 Four-Week Roadmap</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EB" w:sz="16"/>
              <w:bottom w:val="none" w:color="FFFFFF" w:sz="0"/>
              <w:right w:val="none" w:color="FFFFFF" w:sz="0"/>
            </w:tcBorders>
            <w:shd w:fill="DBEAFE" w:val="clear"/>
            <w:tcMar>
              <w:top w:type="dxa" w:w="80"/>
              <w:left w:type="dxa" w:w="160"/>
              <w:bottom w:type="dxa" w:w="80"/>
              <w:right w:type="dxa" w:w="160"/>
            </w:tcMar>
          </w:tcPr>
          <w:p>
            <w:r>
              <w:rPr>
                <w:rFonts w:ascii="Arial" w:cs="Arial" w:eastAsia="Arial" w:hAnsi="Arial"/>
                <w:b/>
                <w:bCs/>
                <w:color w:val="2563EB"/>
                <w:sz w:val="24"/>
                <w:szCs w:val="24"/>
              </w:rPr>
              <w:t xml:space="preserve">Week 1: Foundation</w:t>
            </w:r>
          </w:p>
        </w:tc>
      </w:tr>
    </w:tbl>
    <w:p>
      <w:pPr>
        <w:spacing w:after="100" w:before="60"/>
      </w:pPr>
      <w:r>
        <w:rPr>
          <w:rFonts w:ascii="Arial" w:cs="Arial" w:eastAsia="Arial" w:hAnsi="Arial"/>
          <w:b w:val="false"/>
          <w:bCs w:val="false"/>
          <w:color w:val="334155"/>
          <w:sz w:val="22"/>
          <w:szCs w:val="22"/>
        </w:rPr>
        <w:t xml:space="preserve">Repository setup, branch strategy, and CI/CD pipeline via GitHub Actions. Gmail API integration: OAuth 2.0 flow, polling for new emails, extracting body and attachments. MongoDB schema design for client records, interactions, and status. Vector database setup with a sample product knowledge base ingestion. First RAG query working end-to-end. Basic admin dashboard authentication.</w:t>
      </w:r>
    </w:p>
    <w:p>
      <w:pPr>
        <w:spacing w:after="100" w:before="60"/>
      </w:pPr>
      <w:r>
        <w:rPr>
          <w:rFonts w:ascii="Arial" w:cs="Arial" w:eastAsia="Arial" w:hAnsi="Arial"/>
          <w:b/>
          <w:bCs/>
          <w:color w:val="2563EB"/>
          <w:sz w:val="22"/>
          <w:szCs w:val="22"/>
        </w:rPr>
        <w:t xml:space="preserve">Milestone: </w:t>
      </w:r>
      <w:r>
        <w:rPr>
          <w:rFonts w:ascii="Arial" w:cs="Arial" w:eastAsia="Arial" w:hAnsi="Arial"/>
          <w:color w:val="334155"/>
          <w:sz w:val="22"/>
          <w:szCs w:val="22"/>
        </w:rPr>
        <w:t xml:space="preserve">System can fetch emails from Gmail and return a RAG query result for a sample product question.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EB" w:sz="16"/>
              <w:bottom w:val="none" w:color="FFFFFF" w:sz="0"/>
              <w:right w:val="none" w:color="FFFFFF" w:sz="0"/>
            </w:tcBorders>
            <w:shd w:fill="DBEAFE" w:val="clear"/>
            <w:tcMar>
              <w:top w:type="dxa" w:w="80"/>
              <w:left w:type="dxa" w:w="160"/>
              <w:bottom w:type="dxa" w:w="80"/>
              <w:right w:type="dxa" w:w="160"/>
            </w:tcMar>
          </w:tcPr>
          <w:p>
            <w:r>
              <w:rPr>
                <w:rFonts w:ascii="Arial" w:cs="Arial" w:eastAsia="Arial" w:hAnsi="Arial"/>
                <w:b/>
                <w:bCs/>
                <w:color w:val="2563EB"/>
                <w:sz w:val="24"/>
                <w:szCs w:val="24"/>
              </w:rPr>
              <w:t xml:space="preserve">Week 2: Core AI</w:t>
            </w:r>
          </w:p>
        </w:tc>
      </w:tr>
    </w:tbl>
    <w:p>
      <w:pPr>
        <w:spacing w:after="100" w:before="60"/>
      </w:pPr>
      <w:r>
        <w:rPr>
          <w:rFonts w:ascii="Arial" w:cs="Arial" w:eastAsia="Arial" w:hAnsi="Arial"/>
          <w:b w:val="false"/>
          <w:bCs w:val="false"/>
          <w:color w:val="334155"/>
          <w:sz w:val="22"/>
          <w:szCs w:val="22"/>
        </w:rPr>
        <w:t xml:space="preserve">Five-agent pipeline built and connected: Classifier, Extractor, Matcher, Composer, Supervisor. Confidence scoring and routing logic. Client context store with read and write operations. HubSpot CRM integration: create contact, create deal, update stage, log note. End-to-end flow: email arrives, pipeline runs, draft appears in Gmail inbox, HubSpot updated. Langfuse observability connected.</w:t>
      </w:r>
    </w:p>
    <w:p>
      <w:pPr>
        <w:spacing w:after="100" w:before="60"/>
      </w:pPr>
      <w:r>
        <w:rPr>
          <w:rFonts w:ascii="Arial" w:cs="Arial" w:eastAsia="Arial" w:hAnsi="Arial"/>
          <w:b/>
          <w:bCs/>
          <w:color w:val="2563EB"/>
          <w:sz w:val="22"/>
          <w:szCs w:val="22"/>
        </w:rPr>
        <w:t xml:space="preserve">Milestone: </w:t>
      </w:r>
      <w:r>
        <w:rPr>
          <w:rFonts w:ascii="Arial" w:cs="Arial" w:eastAsia="Arial" w:hAnsi="Arial"/>
          <w:color w:val="334155"/>
          <w:sz w:val="22"/>
          <w:szCs w:val="22"/>
        </w:rPr>
        <w:t xml:space="preserve">Email arrives, AI processes it, draft reply appears in Gmail, HubSpot CRM is updated automatically.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EB" w:sz="16"/>
              <w:bottom w:val="none" w:color="FFFFFF" w:sz="0"/>
              <w:right w:val="none" w:color="FFFFFF" w:sz="0"/>
            </w:tcBorders>
            <w:shd w:fill="DBEAFE" w:val="clear"/>
            <w:tcMar>
              <w:top w:type="dxa" w:w="80"/>
              <w:left w:type="dxa" w:w="160"/>
              <w:bottom w:type="dxa" w:w="80"/>
              <w:right w:type="dxa" w:w="160"/>
            </w:tcMar>
          </w:tcPr>
          <w:p>
            <w:r>
              <w:rPr>
                <w:rFonts w:ascii="Arial" w:cs="Arial" w:eastAsia="Arial" w:hAnsi="Arial"/>
                <w:b/>
                <w:bCs/>
                <w:color w:val="2563EB"/>
                <w:sz w:val="24"/>
                <w:szCs w:val="24"/>
              </w:rPr>
              <w:t xml:space="preserve">Week 3: Advanced Features</w:t>
            </w:r>
          </w:p>
        </w:tc>
      </w:tr>
    </w:tbl>
    <w:p>
      <w:pPr>
        <w:spacing w:after="100" w:before="60"/>
      </w:pPr>
      <w:r>
        <w:rPr>
          <w:rFonts w:ascii="Arial" w:cs="Arial" w:eastAsia="Arial" w:hAnsi="Arial"/>
          <w:b w:val="false"/>
          <w:bCs w:val="false"/>
          <w:color w:val="334155"/>
          <w:sz w:val="22"/>
          <w:szCs w:val="22"/>
        </w:rPr>
        <w:t xml:space="preserve">Gmail Add-on sidebar built: classification, requirements, product recommendation, draft display, Send/Edit/Skip actions. Admin dashboard UI: setup page, activity feed, client list, metrics. Multimodal processing: PDF attachments and image analysis. OWASP LLM Top 10 security review: prompt injection defense, PII filtering, rate limiting, output validation. Performance optimization.</w:t>
      </w:r>
    </w:p>
    <w:p>
      <w:pPr>
        <w:spacing w:after="100" w:before="60"/>
      </w:pPr>
      <w:r>
        <w:rPr>
          <w:rFonts w:ascii="Arial" w:cs="Arial" w:eastAsia="Arial" w:hAnsi="Arial"/>
          <w:b/>
          <w:bCs/>
          <w:color w:val="2563EB"/>
          <w:sz w:val="22"/>
          <w:szCs w:val="22"/>
        </w:rPr>
        <w:t xml:space="preserve">Milestone: </w:t>
      </w:r>
      <w:r>
        <w:rPr>
          <w:rFonts w:ascii="Arial" w:cs="Arial" w:eastAsia="Arial" w:hAnsi="Arial"/>
          <w:color w:val="334155"/>
          <w:sz w:val="22"/>
          <w:szCs w:val="22"/>
        </w:rPr>
        <w:t xml:space="preserve">Both interfaces functional. System passes basic security review. Multimodal inputs processed correctly.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EB" w:sz="16"/>
              <w:bottom w:val="none" w:color="FFFFFF" w:sz="0"/>
              <w:right w:val="none" w:color="FFFFFF" w:sz="0"/>
            </w:tcBorders>
            <w:shd w:fill="DBEAFE" w:val="clear"/>
            <w:tcMar>
              <w:top w:type="dxa" w:w="80"/>
              <w:left w:type="dxa" w:w="160"/>
              <w:bottom w:type="dxa" w:w="80"/>
              <w:right w:type="dxa" w:w="160"/>
            </w:tcMar>
          </w:tcPr>
          <w:p>
            <w:r>
              <w:rPr>
                <w:rFonts w:ascii="Arial" w:cs="Arial" w:eastAsia="Arial" w:hAnsi="Arial"/>
                <w:b/>
                <w:bCs/>
                <w:color w:val="2563EB"/>
                <w:sz w:val="24"/>
                <w:szCs w:val="24"/>
              </w:rPr>
              <w:t xml:space="preserve">Week 4: Ship</w:t>
            </w:r>
          </w:p>
        </w:tc>
      </w:tr>
    </w:tbl>
    <w:p>
      <w:pPr>
        <w:spacing w:after="100" w:before="60"/>
      </w:pPr>
      <w:r>
        <w:rPr>
          <w:rFonts w:ascii="Arial" w:cs="Arial" w:eastAsia="Arial" w:hAnsi="Arial"/>
          <w:b w:val="false"/>
          <w:bCs w:val="false"/>
          <w:color w:val="334155"/>
          <w:sz w:val="22"/>
          <w:szCs w:val="22"/>
        </w:rPr>
        <w:t xml:space="preserve">Minimum 50 test cases covering standard inquiries, edge cases, out-of-scope emails, and adversarial inputs. End-to-end testing of the full pipeline. Docker containerization of the backend. Cloud deployment on Railway or AWS. Documentation: README, API docs, admin user guide. Demo video recording using the Luxor Museum scenario. Presentation deck finalized.</w:t>
      </w:r>
    </w:p>
    <w:p>
      <w:pPr>
        <w:spacing w:after="100" w:before="60"/>
      </w:pPr>
      <w:r>
        <w:rPr>
          <w:rFonts w:ascii="Arial" w:cs="Arial" w:eastAsia="Arial" w:hAnsi="Arial"/>
          <w:b/>
          <w:bCs/>
          <w:color w:val="2563EB"/>
          <w:sz w:val="22"/>
          <w:szCs w:val="22"/>
        </w:rPr>
        <w:t xml:space="preserve">Milestone: </w:t>
      </w:r>
      <w:r>
        <w:rPr>
          <w:rFonts w:ascii="Arial" w:cs="Arial" w:eastAsia="Arial" w:hAnsi="Arial"/>
          <w:color w:val="334155"/>
          <w:sz w:val="22"/>
          <w:szCs w:val="22"/>
        </w:rPr>
        <w:t xml:space="preserve">System deployed to production, documented, demo-ready, and tested.</w:t>
      </w:r>
    </w:p>
    <w:p>
      <w:pPr>
        <w:spacing w:after="240" w:before="0"/>
      </w:pPr>
      <w:r>
        <w:t xml:space="preserve"/>
      </w:r>
    </w:p>
    <w:p>
      <w:pPr>
        <w:pageBreakBefore/>
      </w:pPr>
      <w:r>
        <w:t xml:space="preserve"/>
      </w:r>
    </w:p>
    <w:p>
      <w:pPr>
        <w:pStyle w:val="Heading1"/>
        <w:spacing w:after="160" w:before="360"/>
      </w:pPr>
      <w:r>
        <w:rPr>
          <w:rFonts w:ascii="Arial" w:cs="Arial" w:eastAsia="Arial" w:hAnsi="Arial"/>
          <w:b/>
          <w:bCs/>
          <w:color w:val="1E293B"/>
          <w:sz w:val="36"/>
          <w:szCs w:val="36"/>
        </w:rPr>
        <w:t xml:space="preserve">9. Technical Prerequisites and Study Plan</w:t>
      </w:r>
    </w:p>
    <w:p>
      <w:pPr>
        <w:pStyle w:val="Heading2"/>
        <w:spacing w:after="120" w:before="280"/>
      </w:pPr>
      <w:r>
        <w:rPr>
          <w:rFonts w:ascii="Arial" w:cs="Arial" w:eastAsia="Arial" w:hAnsi="Arial"/>
          <w:b/>
          <w:bCs/>
          <w:color w:val="2563EB"/>
          <w:sz w:val="28"/>
          <w:szCs w:val="28"/>
        </w:rPr>
        <w:t xml:space="preserve">9.1 What You Need to Know Before Building This</w:t>
      </w:r>
    </w:p>
    <w:p>
      <w:pPr>
        <w:spacing w:after="100" w:before="60"/>
      </w:pPr>
      <w:r>
        <w:rPr>
          <w:rFonts w:ascii="Arial" w:cs="Arial" w:eastAsia="Arial" w:hAnsi="Arial"/>
          <w:b w:val="false"/>
          <w:bCs w:val="false"/>
          <w:color w:val="334155"/>
          <w:sz w:val="22"/>
          <w:szCs w:val="22"/>
        </w:rPr>
        <w:t xml:space="preserve">This section covers every topic a team member needs to understand before starting implementation. For each topic, a recommended resource is listed alongside the estimated learning time.</w:t>
      </w:r>
    </w:p>
    <w:p>
      <w:pPr>
        <w:spacing w:after="120" w:before="0"/>
      </w:pPr>
      <w:r>
        <w:t xml:space="preserve"/>
      </w:r>
    </w:p>
    <w:p>
      <w:pPr>
        <w:spacing w:after="80" w:before="220"/>
      </w:pPr>
      <w:r>
        <w:rPr>
          <w:rFonts w:ascii="Arial" w:cs="Arial" w:eastAsia="Arial" w:hAnsi="Arial"/>
          <w:b/>
          <w:bCs/>
          <w:color w:val="1E293B"/>
          <w:sz w:val="24"/>
          <w:szCs w:val="24"/>
        </w:rPr>
        <w:t xml:space="preserve">JavaScript and Node.js Fundamentals</w:t>
      </w:r>
    </w:p>
    <w:p>
      <w:pPr>
        <w:spacing w:after="100" w:before="60"/>
      </w:pPr>
      <w:r>
        <w:rPr>
          <w:rFonts w:ascii="Arial" w:cs="Arial" w:eastAsia="Arial" w:hAnsi="Arial"/>
          <w:b w:val="false"/>
          <w:bCs w:val="false"/>
          <w:color w:val="334155"/>
          <w:sz w:val="22"/>
          <w:szCs w:val="22"/>
        </w:rPr>
        <w:t xml:space="preserve">Required for all team members. Specifically: async/await patterns, Promise handling, error handling with try/catch, event-driven architecture, and module systems. A team member who struggles with async JavaScript will block the entire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160"/>
      </w:tblGrid>
      <w:tr>
        <w:trPr>
          <w:tblHeader/>
        </w:trPr>
        <w:tc>
          <w:tcPr>
            <w:tcW w:type="dxa" w:w="2400"/>
            <w:tcBorders>
              <w:top w:val="single" w:color="1E3A5F" w:sz="8"/>
              <w:left w:val="single" w:color="1E3A5F" w:sz="8"/>
              <w:bottom w:val="single" w:color="1E3A5F" w:sz="8"/>
              <w:right w:val="single" w:color="1E3A5F" w:sz="8"/>
            </w:tcBorders>
            <w:shd w:fill="1E293B" w:val="clear"/>
            <w:tcMar>
              <w:top w:type="dxa" w:w="100"/>
              <w:left w:type="dxa" w:w="140"/>
              <w:bottom w:type="dxa" w:w="100"/>
              <w:right w:type="dxa" w:w="100"/>
            </w:tcMar>
          </w:tcPr>
          <w:p>
            <w:r>
              <w:rPr>
                <w:rFonts w:ascii="Arial" w:cs="Arial" w:eastAsia="Arial" w:hAnsi="Arial"/>
                <w:b/>
                <w:bCs/>
                <w:color w:val="FFFFFF"/>
                <w:sz w:val="20"/>
                <w:szCs w:val="20"/>
              </w:rPr>
              <w:t xml:space="preserve">Topic</w:t>
            </w:r>
          </w:p>
        </w:tc>
        <w:tc>
          <w:tcPr>
            <w:tcW w:type="dxa" w:w="4800"/>
            <w:tcBorders>
              <w:top w:val="single" w:color="1E3A5F" w:sz="8"/>
              <w:left w:val="single" w:color="1E3A5F" w:sz="8"/>
              <w:bottom w:val="single" w:color="1E3A5F" w:sz="8"/>
              <w:right w:val="single" w:color="1E3A5F" w:sz="8"/>
            </w:tcBorders>
            <w:shd w:fill="1E293B" w:val="clear"/>
            <w:tcMar>
              <w:top w:type="dxa" w:w="100"/>
              <w:left w:type="dxa" w:w="140"/>
              <w:bottom w:type="dxa" w:w="100"/>
              <w:right w:type="dxa" w:w="100"/>
            </w:tcMar>
          </w:tcPr>
          <w:p>
            <w:r>
              <w:rPr>
                <w:rFonts w:ascii="Arial" w:cs="Arial" w:eastAsia="Arial" w:hAnsi="Arial"/>
                <w:b/>
                <w:bCs/>
                <w:color w:val="FFFFFF"/>
                <w:sz w:val="20"/>
                <w:szCs w:val="20"/>
              </w:rPr>
              <w:t xml:space="preserve">Resource</w:t>
            </w:r>
          </w:p>
        </w:tc>
        <w:tc>
          <w:tcPr>
            <w:tcW w:type="dxa" w:w="2160"/>
            <w:tcBorders>
              <w:top w:val="single" w:color="1E3A5F" w:sz="8"/>
              <w:left w:val="single" w:color="1E3A5F" w:sz="8"/>
              <w:bottom w:val="single" w:color="1E3A5F" w:sz="8"/>
              <w:right w:val="single" w:color="1E3A5F" w:sz="8"/>
            </w:tcBorders>
            <w:shd w:fill="1E293B" w:val="clear"/>
            <w:tcMar>
              <w:top w:type="dxa" w:w="100"/>
              <w:left w:type="dxa" w:w="140"/>
              <w:bottom w:type="dxa" w:w="100"/>
              <w:right w:type="dxa" w:w="100"/>
            </w:tcMar>
          </w:tcPr>
          <w:p>
            <w:r>
              <w:rPr>
                <w:rFonts w:ascii="Arial" w:cs="Arial" w:eastAsia="Arial" w:hAnsi="Arial"/>
                <w:b/>
                <w:bCs/>
                <w:color w:val="FFFFFF"/>
                <w:sz w:val="20"/>
                <w:szCs w:val="20"/>
              </w:rPr>
              <w:t xml:space="preserve">Time</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Async/await and Promises</w:t>
            </w:r>
          </w:p>
        </w:tc>
        <w:tc>
          <w:tcPr>
            <w:tcW w:type="dxa" w:w="4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javascript.info/async — free, comprehensive</w:t>
            </w:r>
          </w:p>
        </w:tc>
        <w:tc>
          <w:tcPr>
            <w:tcW w:type="dxa" w:w="21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4 hours</w:t>
            </w:r>
          </w:p>
        </w:tc>
      </w:tr>
      <w:tr>
        <w:tc>
          <w:tcPr>
            <w:tcW w:type="dxa" w:w="24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Express.js REST APIs</w:t>
            </w:r>
          </w:p>
        </w:tc>
        <w:tc>
          <w:tcPr>
            <w:tcW w:type="dxa" w:w="48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Express.js official docs, Getting Started guide</w:t>
            </w:r>
          </w:p>
        </w:tc>
        <w:tc>
          <w:tcPr>
            <w:tcW w:type="dxa" w:w="21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3 hours</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Node.js streams and events</w:t>
            </w:r>
          </w:p>
        </w:tc>
        <w:tc>
          <w:tcPr>
            <w:tcW w:type="dxa" w:w="4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Node.js official docs, Guides section</w:t>
            </w:r>
          </w:p>
        </w:tc>
        <w:tc>
          <w:tcPr>
            <w:tcW w:type="dxa" w:w="21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2 hours</w:t>
            </w:r>
          </w:p>
        </w:tc>
      </w:tr>
    </w:tbl>
    <w:p>
      <w:pPr>
        <w:spacing w:after="120" w:before="0"/>
      </w:pPr>
      <w:r>
        <w:t xml:space="preserve"/>
      </w:r>
    </w:p>
    <w:p>
      <w:pPr>
        <w:spacing w:after="80" w:before="220"/>
      </w:pPr>
      <w:r>
        <w:rPr>
          <w:rFonts w:ascii="Arial" w:cs="Arial" w:eastAsia="Arial" w:hAnsi="Arial"/>
          <w:b/>
          <w:bCs/>
          <w:color w:val="1E293B"/>
          <w:sz w:val="24"/>
          <w:szCs w:val="24"/>
        </w:rPr>
        <w:t xml:space="preserve">Large Language Model APIs</w:t>
      </w:r>
    </w:p>
    <w:p>
      <w:pPr>
        <w:spacing w:after="100" w:before="60"/>
      </w:pPr>
      <w:r>
        <w:rPr>
          <w:rFonts w:ascii="Arial" w:cs="Arial" w:eastAsia="Arial" w:hAnsi="Arial"/>
          <w:b w:val="false"/>
          <w:bCs w:val="false"/>
          <w:color w:val="334155"/>
          <w:sz w:val="22"/>
          <w:szCs w:val="22"/>
        </w:rPr>
        <w:t xml:space="preserve">Required for the AI pipeline members. Understanding how to make structured API calls, how to use function calling to get JSON outputs, how to manage token limits, and how to interpret model responses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160"/>
      </w:tblGrid>
      <w:tr>
        <w:trPr>
          <w:tblHeader/>
        </w:trPr>
        <w:tc>
          <w:tcPr>
            <w:tcW w:type="dxa" w:w="2400"/>
            <w:tcBorders>
              <w:top w:val="single" w:color="1E3A5F" w:sz="8"/>
              <w:left w:val="single" w:color="1E3A5F" w:sz="8"/>
              <w:bottom w:val="single" w:color="1E3A5F" w:sz="8"/>
              <w:right w:val="single" w:color="1E3A5F" w:sz="8"/>
            </w:tcBorders>
            <w:shd w:fill="1E293B" w:val="clear"/>
            <w:tcMar>
              <w:top w:type="dxa" w:w="100"/>
              <w:left w:type="dxa" w:w="140"/>
              <w:bottom w:type="dxa" w:w="100"/>
              <w:right w:type="dxa" w:w="100"/>
            </w:tcMar>
          </w:tcPr>
          <w:p>
            <w:r>
              <w:rPr>
                <w:rFonts w:ascii="Arial" w:cs="Arial" w:eastAsia="Arial" w:hAnsi="Arial"/>
                <w:b/>
                <w:bCs/>
                <w:color w:val="FFFFFF"/>
                <w:sz w:val="20"/>
                <w:szCs w:val="20"/>
              </w:rPr>
              <w:t xml:space="preserve">Topic</w:t>
            </w:r>
          </w:p>
        </w:tc>
        <w:tc>
          <w:tcPr>
            <w:tcW w:type="dxa" w:w="4800"/>
            <w:tcBorders>
              <w:top w:val="single" w:color="1E3A5F" w:sz="8"/>
              <w:left w:val="single" w:color="1E3A5F" w:sz="8"/>
              <w:bottom w:val="single" w:color="1E3A5F" w:sz="8"/>
              <w:right w:val="single" w:color="1E3A5F" w:sz="8"/>
            </w:tcBorders>
            <w:shd w:fill="1E293B" w:val="clear"/>
            <w:tcMar>
              <w:top w:type="dxa" w:w="100"/>
              <w:left w:type="dxa" w:w="140"/>
              <w:bottom w:type="dxa" w:w="100"/>
              <w:right w:type="dxa" w:w="100"/>
            </w:tcMar>
          </w:tcPr>
          <w:p>
            <w:r>
              <w:rPr>
                <w:rFonts w:ascii="Arial" w:cs="Arial" w:eastAsia="Arial" w:hAnsi="Arial"/>
                <w:b/>
                <w:bCs/>
                <w:color w:val="FFFFFF"/>
                <w:sz w:val="20"/>
                <w:szCs w:val="20"/>
              </w:rPr>
              <w:t xml:space="preserve">Resource</w:t>
            </w:r>
          </w:p>
        </w:tc>
        <w:tc>
          <w:tcPr>
            <w:tcW w:type="dxa" w:w="2160"/>
            <w:tcBorders>
              <w:top w:val="single" w:color="1E3A5F" w:sz="8"/>
              <w:left w:val="single" w:color="1E3A5F" w:sz="8"/>
              <w:bottom w:val="single" w:color="1E3A5F" w:sz="8"/>
              <w:right w:val="single" w:color="1E3A5F" w:sz="8"/>
            </w:tcBorders>
            <w:shd w:fill="1E293B" w:val="clear"/>
            <w:tcMar>
              <w:top w:type="dxa" w:w="100"/>
              <w:left w:type="dxa" w:w="140"/>
              <w:bottom w:type="dxa" w:w="100"/>
              <w:right w:type="dxa" w:w="100"/>
            </w:tcMar>
          </w:tcPr>
          <w:p>
            <w:r>
              <w:rPr>
                <w:rFonts w:ascii="Arial" w:cs="Arial" w:eastAsia="Arial" w:hAnsi="Arial"/>
                <w:b/>
                <w:bCs/>
                <w:color w:val="FFFFFF"/>
                <w:sz w:val="20"/>
                <w:szCs w:val="20"/>
              </w:rPr>
              <w:t xml:space="preserve">Time</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OpenAI API function calling</w:t>
            </w:r>
          </w:p>
        </w:tc>
        <w:tc>
          <w:tcPr>
            <w:tcW w:type="dxa" w:w="4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platform.openai.com/docs — Function Calling guide</w:t>
            </w:r>
          </w:p>
        </w:tc>
        <w:tc>
          <w:tcPr>
            <w:tcW w:type="dxa" w:w="21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3 hours</w:t>
            </w:r>
          </w:p>
        </w:tc>
      </w:tr>
      <w:tr>
        <w:tc>
          <w:tcPr>
            <w:tcW w:type="dxa" w:w="24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Prompt engineering basics</w:t>
            </w:r>
          </w:p>
        </w:tc>
        <w:tc>
          <w:tcPr>
            <w:tcW w:type="dxa" w:w="48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Anthropic Prompt Engineering guide (free online)</w:t>
            </w:r>
          </w:p>
        </w:tc>
        <w:tc>
          <w:tcPr>
            <w:tcW w:type="dxa" w:w="21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4 hours</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Managing token costs</w:t>
            </w:r>
          </w:p>
        </w:tc>
        <w:tc>
          <w:tcPr>
            <w:tcW w:type="dxa" w:w="4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OpenAI Tokenizer tool, pricing page</w:t>
            </w:r>
          </w:p>
        </w:tc>
        <w:tc>
          <w:tcPr>
            <w:tcW w:type="dxa" w:w="21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1 hour</w:t>
            </w:r>
          </w:p>
        </w:tc>
      </w:tr>
    </w:tbl>
    <w:p>
      <w:pPr>
        <w:spacing w:after="120" w:before="0"/>
      </w:pPr>
      <w:r>
        <w:t xml:space="preserve"/>
      </w:r>
    </w:p>
    <w:p>
      <w:pPr>
        <w:spacing w:after="80" w:before="220"/>
      </w:pPr>
      <w:r>
        <w:rPr>
          <w:rFonts w:ascii="Arial" w:cs="Arial" w:eastAsia="Arial" w:hAnsi="Arial"/>
          <w:b/>
          <w:bCs/>
          <w:color w:val="1E293B"/>
          <w:sz w:val="24"/>
          <w:szCs w:val="24"/>
        </w:rPr>
        <w:t xml:space="preserve">LangChain.js</w:t>
      </w:r>
    </w:p>
    <w:p>
      <w:pPr>
        <w:spacing w:after="100" w:before="60"/>
      </w:pPr>
      <w:r>
        <w:rPr>
          <w:rFonts w:ascii="Arial" w:cs="Arial" w:eastAsia="Arial" w:hAnsi="Arial"/>
          <w:b w:val="false"/>
          <w:bCs w:val="false"/>
          <w:color w:val="334155"/>
          <w:sz w:val="22"/>
          <w:szCs w:val="22"/>
        </w:rPr>
        <w:t xml:space="preserve">Required for the agent pipeline member. LangChain is the framework that wires the five agents together. The most important concepts are chains, agents, tools, memory, and output parsers.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160"/>
      </w:tblGrid>
      <w:tr>
        <w:trPr>
          <w:tblHeader/>
        </w:trPr>
        <w:tc>
          <w:tcPr>
            <w:tcW w:type="dxa" w:w="2400"/>
            <w:tcBorders>
              <w:top w:val="single" w:color="1E3A5F" w:sz="8"/>
              <w:left w:val="single" w:color="1E3A5F" w:sz="8"/>
              <w:bottom w:val="single" w:color="1E3A5F" w:sz="8"/>
              <w:right w:val="single" w:color="1E3A5F" w:sz="8"/>
            </w:tcBorders>
            <w:shd w:fill="1E293B" w:val="clear"/>
            <w:tcMar>
              <w:top w:type="dxa" w:w="100"/>
              <w:left w:type="dxa" w:w="140"/>
              <w:bottom w:type="dxa" w:w="100"/>
              <w:right w:type="dxa" w:w="100"/>
            </w:tcMar>
          </w:tcPr>
          <w:p>
            <w:r>
              <w:rPr>
                <w:rFonts w:ascii="Arial" w:cs="Arial" w:eastAsia="Arial" w:hAnsi="Arial"/>
                <w:b/>
                <w:bCs/>
                <w:color w:val="FFFFFF"/>
                <w:sz w:val="20"/>
                <w:szCs w:val="20"/>
              </w:rPr>
              <w:t xml:space="preserve">Topic</w:t>
            </w:r>
          </w:p>
        </w:tc>
        <w:tc>
          <w:tcPr>
            <w:tcW w:type="dxa" w:w="4800"/>
            <w:tcBorders>
              <w:top w:val="single" w:color="1E3A5F" w:sz="8"/>
              <w:left w:val="single" w:color="1E3A5F" w:sz="8"/>
              <w:bottom w:val="single" w:color="1E3A5F" w:sz="8"/>
              <w:right w:val="single" w:color="1E3A5F" w:sz="8"/>
            </w:tcBorders>
            <w:shd w:fill="1E293B" w:val="clear"/>
            <w:tcMar>
              <w:top w:type="dxa" w:w="100"/>
              <w:left w:type="dxa" w:w="140"/>
              <w:bottom w:type="dxa" w:w="100"/>
              <w:right w:type="dxa" w:w="100"/>
            </w:tcMar>
          </w:tcPr>
          <w:p>
            <w:r>
              <w:rPr>
                <w:rFonts w:ascii="Arial" w:cs="Arial" w:eastAsia="Arial" w:hAnsi="Arial"/>
                <w:b/>
                <w:bCs/>
                <w:color w:val="FFFFFF"/>
                <w:sz w:val="20"/>
                <w:szCs w:val="20"/>
              </w:rPr>
              <w:t xml:space="preserve">Resource</w:t>
            </w:r>
          </w:p>
        </w:tc>
        <w:tc>
          <w:tcPr>
            <w:tcW w:type="dxa" w:w="2160"/>
            <w:tcBorders>
              <w:top w:val="single" w:color="1E3A5F" w:sz="8"/>
              <w:left w:val="single" w:color="1E3A5F" w:sz="8"/>
              <w:bottom w:val="single" w:color="1E3A5F" w:sz="8"/>
              <w:right w:val="single" w:color="1E3A5F" w:sz="8"/>
            </w:tcBorders>
            <w:shd w:fill="1E293B" w:val="clear"/>
            <w:tcMar>
              <w:top w:type="dxa" w:w="100"/>
              <w:left w:type="dxa" w:w="140"/>
              <w:bottom w:type="dxa" w:w="100"/>
              <w:right w:type="dxa" w:w="100"/>
            </w:tcMar>
          </w:tcPr>
          <w:p>
            <w:r>
              <w:rPr>
                <w:rFonts w:ascii="Arial" w:cs="Arial" w:eastAsia="Arial" w:hAnsi="Arial"/>
                <w:b/>
                <w:bCs/>
                <w:color w:val="FFFFFF"/>
                <w:sz w:val="20"/>
                <w:szCs w:val="20"/>
              </w:rPr>
              <w:t xml:space="preserve">Time</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LangChain.js quickstart</w:t>
            </w:r>
          </w:p>
        </w:tc>
        <w:tc>
          <w:tcPr>
            <w:tcW w:type="dxa" w:w="4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js.langchain.com/docs — Introduction and Quickstart</w:t>
            </w:r>
          </w:p>
        </w:tc>
        <w:tc>
          <w:tcPr>
            <w:tcW w:type="dxa" w:w="21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3 hours</w:t>
            </w:r>
          </w:p>
        </w:tc>
      </w:tr>
      <w:tr>
        <w:tc>
          <w:tcPr>
            <w:tcW w:type="dxa" w:w="24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Agents and tool use</w:t>
            </w:r>
          </w:p>
        </w:tc>
        <w:tc>
          <w:tcPr>
            <w:tcW w:type="dxa" w:w="48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LangChain docs — How to use agents</w:t>
            </w:r>
          </w:p>
        </w:tc>
        <w:tc>
          <w:tcPr>
            <w:tcW w:type="dxa" w:w="21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4 hours</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Memory and context</w:t>
            </w:r>
          </w:p>
        </w:tc>
        <w:tc>
          <w:tcPr>
            <w:tcW w:type="dxa" w:w="4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LangChain docs — Memory section</w:t>
            </w:r>
          </w:p>
        </w:tc>
        <w:tc>
          <w:tcPr>
            <w:tcW w:type="dxa" w:w="21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2 hours</w:t>
            </w:r>
          </w:p>
        </w:tc>
      </w:tr>
    </w:tbl>
    <w:p>
      <w:pPr>
        <w:spacing w:after="120" w:before="0"/>
      </w:pPr>
      <w:r>
        <w:t xml:space="preserve"/>
      </w:r>
    </w:p>
    <w:p>
      <w:pPr>
        <w:spacing w:after="80" w:before="220"/>
      </w:pPr>
      <w:r>
        <w:rPr>
          <w:rFonts w:ascii="Arial" w:cs="Arial" w:eastAsia="Arial" w:hAnsi="Arial"/>
          <w:b/>
          <w:bCs/>
          <w:color w:val="1E293B"/>
          <w:sz w:val="24"/>
          <w:szCs w:val="24"/>
        </w:rPr>
        <w:t xml:space="preserve">Retrieval-Augmented Generation (RAG)</w:t>
      </w:r>
    </w:p>
    <w:p>
      <w:pPr>
        <w:spacing w:after="100" w:before="60"/>
      </w:pPr>
      <w:r>
        <w:rPr>
          <w:rFonts w:ascii="Arial" w:cs="Arial" w:eastAsia="Arial" w:hAnsi="Arial"/>
          <w:b w:val="false"/>
          <w:bCs w:val="false"/>
          <w:color w:val="334155"/>
          <w:sz w:val="22"/>
          <w:szCs w:val="22"/>
        </w:rPr>
        <w:t xml:space="preserve">Required for the RAG engine member. Understanding embeddings, vector similarity search, chunking strategies, and why hybrid retrieval outperforms pure semantic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160"/>
      </w:tblGrid>
      <w:tr>
        <w:trPr>
          <w:tblHeader/>
        </w:trPr>
        <w:tc>
          <w:tcPr>
            <w:tcW w:type="dxa" w:w="2400"/>
            <w:tcBorders>
              <w:top w:val="single" w:color="1E3A5F" w:sz="8"/>
              <w:left w:val="single" w:color="1E3A5F" w:sz="8"/>
              <w:bottom w:val="single" w:color="1E3A5F" w:sz="8"/>
              <w:right w:val="single" w:color="1E3A5F" w:sz="8"/>
            </w:tcBorders>
            <w:shd w:fill="1E293B" w:val="clear"/>
            <w:tcMar>
              <w:top w:type="dxa" w:w="100"/>
              <w:left w:type="dxa" w:w="140"/>
              <w:bottom w:type="dxa" w:w="100"/>
              <w:right w:type="dxa" w:w="100"/>
            </w:tcMar>
          </w:tcPr>
          <w:p>
            <w:r>
              <w:rPr>
                <w:rFonts w:ascii="Arial" w:cs="Arial" w:eastAsia="Arial" w:hAnsi="Arial"/>
                <w:b/>
                <w:bCs/>
                <w:color w:val="FFFFFF"/>
                <w:sz w:val="20"/>
                <w:szCs w:val="20"/>
              </w:rPr>
              <w:t xml:space="preserve">Topic</w:t>
            </w:r>
          </w:p>
        </w:tc>
        <w:tc>
          <w:tcPr>
            <w:tcW w:type="dxa" w:w="4800"/>
            <w:tcBorders>
              <w:top w:val="single" w:color="1E3A5F" w:sz="8"/>
              <w:left w:val="single" w:color="1E3A5F" w:sz="8"/>
              <w:bottom w:val="single" w:color="1E3A5F" w:sz="8"/>
              <w:right w:val="single" w:color="1E3A5F" w:sz="8"/>
            </w:tcBorders>
            <w:shd w:fill="1E293B" w:val="clear"/>
            <w:tcMar>
              <w:top w:type="dxa" w:w="100"/>
              <w:left w:type="dxa" w:w="140"/>
              <w:bottom w:type="dxa" w:w="100"/>
              <w:right w:type="dxa" w:w="100"/>
            </w:tcMar>
          </w:tcPr>
          <w:p>
            <w:r>
              <w:rPr>
                <w:rFonts w:ascii="Arial" w:cs="Arial" w:eastAsia="Arial" w:hAnsi="Arial"/>
                <w:b/>
                <w:bCs/>
                <w:color w:val="FFFFFF"/>
                <w:sz w:val="20"/>
                <w:szCs w:val="20"/>
              </w:rPr>
              <w:t xml:space="preserve">Resource</w:t>
            </w:r>
          </w:p>
        </w:tc>
        <w:tc>
          <w:tcPr>
            <w:tcW w:type="dxa" w:w="2160"/>
            <w:tcBorders>
              <w:top w:val="single" w:color="1E3A5F" w:sz="8"/>
              <w:left w:val="single" w:color="1E3A5F" w:sz="8"/>
              <w:bottom w:val="single" w:color="1E3A5F" w:sz="8"/>
              <w:right w:val="single" w:color="1E3A5F" w:sz="8"/>
            </w:tcBorders>
            <w:shd w:fill="1E293B" w:val="clear"/>
            <w:tcMar>
              <w:top w:type="dxa" w:w="100"/>
              <w:left w:type="dxa" w:w="140"/>
              <w:bottom w:type="dxa" w:w="100"/>
              <w:right w:type="dxa" w:w="100"/>
            </w:tcMar>
          </w:tcPr>
          <w:p>
            <w:r>
              <w:rPr>
                <w:rFonts w:ascii="Arial" w:cs="Arial" w:eastAsia="Arial" w:hAnsi="Arial"/>
                <w:b/>
                <w:bCs/>
                <w:color w:val="FFFFFF"/>
                <w:sz w:val="20"/>
                <w:szCs w:val="20"/>
              </w:rPr>
              <w:t xml:space="preserve">Time</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What embeddings are and how they work</w:t>
            </w:r>
          </w:p>
        </w:tc>
        <w:tc>
          <w:tcPr>
            <w:tcW w:type="dxa" w:w="4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OpenAI Embeddings guide + any intro blog post</w:t>
            </w:r>
          </w:p>
        </w:tc>
        <w:tc>
          <w:tcPr>
            <w:tcW w:type="dxa" w:w="21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2 hours</w:t>
            </w:r>
          </w:p>
        </w:tc>
      </w:tr>
      <w:tr>
        <w:tc>
          <w:tcPr>
            <w:tcW w:type="dxa" w:w="24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Vector databases: concepts</w:t>
            </w:r>
          </w:p>
        </w:tc>
        <w:tc>
          <w:tcPr>
            <w:tcW w:type="dxa" w:w="48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Pinecone Learning Center — free online</w:t>
            </w:r>
          </w:p>
        </w:tc>
        <w:tc>
          <w:tcPr>
            <w:tcW w:type="dxa" w:w="21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3 hours</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Chunking strategies for documents</w:t>
            </w:r>
          </w:p>
        </w:tc>
        <w:tc>
          <w:tcPr>
            <w:tcW w:type="dxa" w:w="4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LangChain docs — Text Splitters section</w:t>
            </w:r>
          </w:p>
        </w:tc>
        <w:tc>
          <w:tcPr>
            <w:tcW w:type="dxa" w:w="21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2 hours</w:t>
            </w:r>
          </w:p>
        </w:tc>
      </w:tr>
      <w:tr>
        <w:tc>
          <w:tcPr>
            <w:tcW w:type="dxa" w:w="24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Hybrid retrieval (BM25 + semantic)</w:t>
            </w:r>
          </w:p>
        </w:tc>
        <w:tc>
          <w:tcPr>
            <w:tcW w:type="dxa" w:w="48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Any RAG best practices blog post, 2024-2025</w:t>
            </w:r>
          </w:p>
        </w:tc>
        <w:tc>
          <w:tcPr>
            <w:tcW w:type="dxa" w:w="21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2 hours</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RAGAS evaluation framework</w:t>
            </w:r>
          </w:p>
        </w:tc>
        <w:tc>
          <w:tcPr>
            <w:tcW w:type="dxa" w:w="4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docs.ragas.io — overview and metrics</w:t>
            </w:r>
          </w:p>
        </w:tc>
        <w:tc>
          <w:tcPr>
            <w:tcW w:type="dxa" w:w="21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2 hours</w:t>
            </w:r>
          </w:p>
        </w:tc>
      </w:tr>
    </w:tbl>
    <w:p>
      <w:pPr>
        <w:spacing w:after="120" w:before="0"/>
      </w:pPr>
      <w:r>
        <w:t xml:space="preserve"/>
      </w:r>
    </w:p>
    <w:p>
      <w:pPr>
        <w:spacing w:after="80" w:before="220"/>
      </w:pPr>
      <w:r>
        <w:rPr>
          <w:rFonts w:ascii="Arial" w:cs="Arial" w:eastAsia="Arial" w:hAnsi="Arial"/>
          <w:b/>
          <w:bCs/>
          <w:color w:val="1E293B"/>
          <w:sz w:val="24"/>
          <w:szCs w:val="24"/>
        </w:rPr>
        <w:t xml:space="preserve">Gmail API and OAuth 2.0</w:t>
      </w:r>
    </w:p>
    <w:p>
      <w:pPr>
        <w:spacing w:after="100" w:before="60"/>
      </w:pPr>
      <w:r>
        <w:rPr>
          <w:rFonts w:ascii="Arial" w:cs="Arial" w:eastAsia="Arial" w:hAnsi="Arial"/>
          <w:b w:val="false"/>
          <w:bCs w:val="false"/>
          <w:color w:val="334155"/>
          <w:sz w:val="22"/>
          <w:szCs w:val="22"/>
        </w:rPr>
        <w:t xml:space="preserve">Required for the email integration 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160"/>
      </w:tblGrid>
      <w:tr>
        <w:trPr>
          <w:tblHeader/>
        </w:trPr>
        <w:tc>
          <w:tcPr>
            <w:tcW w:type="dxa" w:w="2400"/>
            <w:tcBorders>
              <w:top w:val="single" w:color="1E3A5F" w:sz="8"/>
              <w:left w:val="single" w:color="1E3A5F" w:sz="8"/>
              <w:bottom w:val="single" w:color="1E3A5F" w:sz="8"/>
              <w:right w:val="single" w:color="1E3A5F" w:sz="8"/>
            </w:tcBorders>
            <w:shd w:fill="1E293B" w:val="clear"/>
            <w:tcMar>
              <w:top w:type="dxa" w:w="100"/>
              <w:left w:type="dxa" w:w="140"/>
              <w:bottom w:type="dxa" w:w="100"/>
              <w:right w:type="dxa" w:w="100"/>
            </w:tcMar>
          </w:tcPr>
          <w:p>
            <w:r>
              <w:rPr>
                <w:rFonts w:ascii="Arial" w:cs="Arial" w:eastAsia="Arial" w:hAnsi="Arial"/>
                <w:b/>
                <w:bCs/>
                <w:color w:val="FFFFFF"/>
                <w:sz w:val="20"/>
                <w:szCs w:val="20"/>
              </w:rPr>
              <w:t xml:space="preserve">Topic</w:t>
            </w:r>
          </w:p>
        </w:tc>
        <w:tc>
          <w:tcPr>
            <w:tcW w:type="dxa" w:w="4800"/>
            <w:tcBorders>
              <w:top w:val="single" w:color="1E3A5F" w:sz="8"/>
              <w:left w:val="single" w:color="1E3A5F" w:sz="8"/>
              <w:bottom w:val="single" w:color="1E3A5F" w:sz="8"/>
              <w:right w:val="single" w:color="1E3A5F" w:sz="8"/>
            </w:tcBorders>
            <w:shd w:fill="1E293B" w:val="clear"/>
            <w:tcMar>
              <w:top w:type="dxa" w:w="100"/>
              <w:left w:type="dxa" w:w="140"/>
              <w:bottom w:type="dxa" w:w="100"/>
              <w:right w:type="dxa" w:w="100"/>
            </w:tcMar>
          </w:tcPr>
          <w:p>
            <w:r>
              <w:rPr>
                <w:rFonts w:ascii="Arial" w:cs="Arial" w:eastAsia="Arial" w:hAnsi="Arial"/>
                <w:b/>
                <w:bCs/>
                <w:color w:val="FFFFFF"/>
                <w:sz w:val="20"/>
                <w:szCs w:val="20"/>
              </w:rPr>
              <w:t xml:space="preserve">Resource</w:t>
            </w:r>
          </w:p>
        </w:tc>
        <w:tc>
          <w:tcPr>
            <w:tcW w:type="dxa" w:w="2160"/>
            <w:tcBorders>
              <w:top w:val="single" w:color="1E3A5F" w:sz="8"/>
              <w:left w:val="single" w:color="1E3A5F" w:sz="8"/>
              <w:bottom w:val="single" w:color="1E3A5F" w:sz="8"/>
              <w:right w:val="single" w:color="1E3A5F" w:sz="8"/>
            </w:tcBorders>
            <w:shd w:fill="1E293B" w:val="clear"/>
            <w:tcMar>
              <w:top w:type="dxa" w:w="100"/>
              <w:left w:type="dxa" w:w="140"/>
              <w:bottom w:type="dxa" w:w="100"/>
              <w:right w:type="dxa" w:w="100"/>
            </w:tcMar>
          </w:tcPr>
          <w:p>
            <w:r>
              <w:rPr>
                <w:rFonts w:ascii="Arial" w:cs="Arial" w:eastAsia="Arial" w:hAnsi="Arial"/>
                <w:b/>
                <w:bCs/>
                <w:color w:val="FFFFFF"/>
                <w:sz w:val="20"/>
                <w:szCs w:val="20"/>
              </w:rPr>
              <w:t xml:space="preserve">Time</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Gmail API overview</w:t>
            </w:r>
          </w:p>
        </w:tc>
        <w:tc>
          <w:tcPr>
            <w:tcW w:type="dxa" w:w="4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developers.google.com/gmail/api — Guides section</w:t>
            </w:r>
          </w:p>
        </w:tc>
        <w:tc>
          <w:tcPr>
            <w:tcW w:type="dxa" w:w="21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3 hours</w:t>
            </w:r>
          </w:p>
        </w:tc>
      </w:tr>
      <w:tr>
        <w:tc>
          <w:tcPr>
            <w:tcW w:type="dxa" w:w="24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OAuth 2.0 for web apps</w:t>
            </w:r>
          </w:p>
        </w:tc>
        <w:tc>
          <w:tcPr>
            <w:tcW w:type="dxa" w:w="48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Google OAuth 2.0 documentation</w:t>
            </w:r>
          </w:p>
        </w:tc>
        <w:tc>
          <w:tcPr>
            <w:tcW w:type="dxa" w:w="21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3 hours</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Gmail Add-on development</w:t>
            </w:r>
          </w:p>
        </w:tc>
        <w:tc>
          <w:tcPr>
            <w:tcW w:type="dxa" w:w="4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developers.google.com/workspace/add-ons — Gmail section</w:t>
            </w:r>
          </w:p>
        </w:tc>
        <w:tc>
          <w:tcPr>
            <w:tcW w:type="dxa" w:w="21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4 hours</w:t>
            </w:r>
          </w:p>
        </w:tc>
      </w:tr>
    </w:tbl>
    <w:p>
      <w:pPr>
        <w:spacing w:after="120" w:before="0"/>
      </w:pPr>
      <w:r>
        <w:t xml:space="preserve"/>
      </w:r>
    </w:p>
    <w:p>
      <w:pPr>
        <w:spacing w:after="80" w:before="220"/>
      </w:pPr>
      <w:r>
        <w:rPr>
          <w:rFonts w:ascii="Arial" w:cs="Arial" w:eastAsia="Arial" w:hAnsi="Arial"/>
          <w:b/>
          <w:bCs/>
          <w:color w:val="1E293B"/>
          <w:sz w:val="24"/>
          <w:szCs w:val="24"/>
        </w:rPr>
        <w:t xml:space="preserve">HubSpot API</w:t>
      </w:r>
    </w:p>
    <w:p>
      <w:pPr>
        <w:spacing w:after="100" w:before="60"/>
      </w:pPr>
      <w:r>
        <w:rPr>
          <w:rFonts w:ascii="Arial" w:cs="Arial" w:eastAsia="Arial" w:hAnsi="Arial"/>
          <w:b w:val="false"/>
          <w:bCs w:val="false"/>
          <w:color w:val="334155"/>
          <w:sz w:val="22"/>
          <w:szCs w:val="22"/>
        </w:rPr>
        <w:t xml:space="preserve">Required for the CRM integration 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160"/>
      </w:tblGrid>
      <w:tr>
        <w:trPr>
          <w:tblHeader/>
        </w:trPr>
        <w:tc>
          <w:tcPr>
            <w:tcW w:type="dxa" w:w="2400"/>
            <w:tcBorders>
              <w:top w:val="single" w:color="1E3A5F" w:sz="8"/>
              <w:left w:val="single" w:color="1E3A5F" w:sz="8"/>
              <w:bottom w:val="single" w:color="1E3A5F" w:sz="8"/>
              <w:right w:val="single" w:color="1E3A5F" w:sz="8"/>
            </w:tcBorders>
            <w:shd w:fill="1E293B" w:val="clear"/>
            <w:tcMar>
              <w:top w:type="dxa" w:w="100"/>
              <w:left w:type="dxa" w:w="140"/>
              <w:bottom w:type="dxa" w:w="100"/>
              <w:right w:type="dxa" w:w="100"/>
            </w:tcMar>
          </w:tcPr>
          <w:p>
            <w:r>
              <w:rPr>
                <w:rFonts w:ascii="Arial" w:cs="Arial" w:eastAsia="Arial" w:hAnsi="Arial"/>
                <w:b/>
                <w:bCs/>
                <w:color w:val="FFFFFF"/>
                <w:sz w:val="20"/>
                <w:szCs w:val="20"/>
              </w:rPr>
              <w:t xml:space="preserve">Topic</w:t>
            </w:r>
          </w:p>
        </w:tc>
        <w:tc>
          <w:tcPr>
            <w:tcW w:type="dxa" w:w="4800"/>
            <w:tcBorders>
              <w:top w:val="single" w:color="1E3A5F" w:sz="8"/>
              <w:left w:val="single" w:color="1E3A5F" w:sz="8"/>
              <w:bottom w:val="single" w:color="1E3A5F" w:sz="8"/>
              <w:right w:val="single" w:color="1E3A5F" w:sz="8"/>
            </w:tcBorders>
            <w:shd w:fill="1E293B" w:val="clear"/>
            <w:tcMar>
              <w:top w:type="dxa" w:w="100"/>
              <w:left w:type="dxa" w:w="140"/>
              <w:bottom w:type="dxa" w:w="100"/>
              <w:right w:type="dxa" w:w="100"/>
            </w:tcMar>
          </w:tcPr>
          <w:p>
            <w:r>
              <w:rPr>
                <w:rFonts w:ascii="Arial" w:cs="Arial" w:eastAsia="Arial" w:hAnsi="Arial"/>
                <w:b/>
                <w:bCs/>
                <w:color w:val="FFFFFF"/>
                <w:sz w:val="20"/>
                <w:szCs w:val="20"/>
              </w:rPr>
              <w:t xml:space="preserve">Resource</w:t>
            </w:r>
          </w:p>
        </w:tc>
        <w:tc>
          <w:tcPr>
            <w:tcW w:type="dxa" w:w="2160"/>
            <w:tcBorders>
              <w:top w:val="single" w:color="1E3A5F" w:sz="8"/>
              <w:left w:val="single" w:color="1E3A5F" w:sz="8"/>
              <w:bottom w:val="single" w:color="1E3A5F" w:sz="8"/>
              <w:right w:val="single" w:color="1E3A5F" w:sz="8"/>
            </w:tcBorders>
            <w:shd w:fill="1E293B" w:val="clear"/>
            <w:tcMar>
              <w:top w:type="dxa" w:w="100"/>
              <w:left w:type="dxa" w:w="140"/>
              <w:bottom w:type="dxa" w:w="100"/>
              <w:right w:type="dxa" w:w="100"/>
            </w:tcMar>
          </w:tcPr>
          <w:p>
            <w:r>
              <w:rPr>
                <w:rFonts w:ascii="Arial" w:cs="Arial" w:eastAsia="Arial" w:hAnsi="Arial"/>
                <w:b/>
                <w:bCs/>
                <w:color w:val="FFFFFF"/>
                <w:sz w:val="20"/>
                <w:szCs w:val="20"/>
              </w:rPr>
              <w:t xml:space="preserve">Time</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HubSpot API overview and authentication</w:t>
            </w:r>
          </w:p>
        </w:tc>
        <w:tc>
          <w:tcPr>
            <w:tcW w:type="dxa" w:w="4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developers.hubspot.com — Getting Started</w:t>
            </w:r>
          </w:p>
        </w:tc>
        <w:tc>
          <w:tcPr>
            <w:tcW w:type="dxa" w:w="21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2 hours</w:t>
            </w:r>
          </w:p>
        </w:tc>
      </w:tr>
      <w:tr>
        <w:tc>
          <w:tcPr>
            <w:tcW w:type="dxa" w:w="24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Creating contacts and deals via API</w:t>
            </w:r>
          </w:p>
        </w:tc>
        <w:tc>
          <w:tcPr>
            <w:tcW w:type="dxa" w:w="48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HubSpot CRM API docs — Contacts and Deals</w:t>
            </w:r>
          </w:p>
        </w:tc>
        <w:tc>
          <w:tcPr>
            <w:tcW w:type="dxa" w:w="21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2 hours</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Logging engagement notes</w:t>
            </w:r>
          </w:p>
        </w:tc>
        <w:tc>
          <w:tcPr>
            <w:tcW w:type="dxa" w:w="4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HubSpot Engagements API docs</w:t>
            </w:r>
          </w:p>
        </w:tc>
        <w:tc>
          <w:tcPr>
            <w:tcW w:type="dxa" w:w="21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1 hour</w:t>
            </w:r>
          </w:p>
        </w:tc>
      </w:tr>
    </w:tbl>
    <w:p>
      <w:pPr>
        <w:spacing w:after="120" w:before="0"/>
      </w:pPr>
      <w:r>
        <w:t xml:space="preserve"/>
      </w:r>
    </w:p>
    <w:p>
      <w:pPr>
        <w:spacing w:after="80" w:before="220"/>
      </w:pPr>
      <w:r>
        <w:rPr>
          <w:rFonts w:ascii="Arial" w:cs="Arial" w:eastAsia="Arial" w:hAnsi="Arial"/>
          <w:b/>
          <w:bCs/>
          <w:color w:val="1E293B"/>
          <w:sz w:val="24"/>
          <w:szCs w:val="24"/>
        </w:rPr>
        <w:t xml:space="preserve">React and Next.js</w:t>
      </w:r>
    </w:p>
    <w:p>
      <w:pPr>
        <w:spacing w:after="100" w:before="60"/>
      </w:pPr>
      <w:r>
        <w:rPr>
          <w:rFonts w:ascii="Arial" w:cs="Arial" w:eastAsia="Arial" w:hAnsi="Arial"/>
          <w:b w:val="false"/>
          <w:bCs w:val="false"/>
          <w:color w:val="334155"/>
          <w:sz w:val="22"/>
          <w:szCs w:val="22"/>
        </w:rPr>
        <w:t xml:space="preserve">Required for the frontend member. Basic React knowledge from ITI coursework is sufficient. The admin dashboard is four simple pages.</w:t>
      </w:r>
    </w:p>
    <w:p>
      <w:pPr>
        <w:spacing w:after="120" w:before="0"/>
      </w:pPr>
      <w:r>
        <w:t xml:space="preserve"/>
      </w:r>
    </w:p>
    <w:p>
      <w:pPr>
        <w:spacing w:after="80" w:before="220"/>
      </w:pPr>
      <w:r>
        <w:rPr>
          <w:rFonts w:ascii="Arial" w:cs="Arial" w:eastAsia="Arial" w:hAnsi="Arial"/>
          <w:b/>
          <w:bCs/>
          <w:color w:val="1E293B"/>
          <w:sz w:val="24"/>
          <w:szCs w:val="24"/>
        </w:rPr>
        <w:t xml:space="preserve">Docker and Deployment</w:t>
      </w:r>
    </w:p>
    <w:p>
      <w:pPr>
        <w:spacing w:after="100" w:before="60"/>
      </w:pPr>
      <w:r>
        <w:rPr>
          <w:rFonts w:ascii="Arial" w:cs="Arial" w:eastAsia="Arial" w:hAnsi="Arial"/>
          <w:b w:val="false"/>
          <w:bCs w:val="false"/>
          <w:color w:val="334155"/>
          <w:sz w:val="22"/>
          <w:szCs w:val="22"/>
        </w:rPr>
        <w:t xml:space="preserve">Required for the DevOps 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160"/>
      </w:tblGrid>
      <w:tr>
        <w:trPr>
          <w:tblHeader/>
        </w:trPr>
        <w:tc>
          <w:tcPr>
            <w:tcW w:type="dxa" w:w="2400"/>
            <w:tcBorders>
              <w:top w:val="single" w:color="1E3A5F" w:sz="8"/>
              <w:left w:val="single" w:color="1E3A5F" w:sz="8"/>
              <w:bottom w:val="single" w:color="1E3A5F" w:sz="8"/>
              <w:right w:val="single" w:color="1E3A5F" w:sz="8"/>
            </w:tcBorders>
            <w:shd w:fill="1E293B" w:val="clear"/>
            <w:tcMar>
              <w:top w:type="dxa" w:w="100"/>
              <w:left w:type="dxa" w:w="140"/>
              <w:bottom w:type="dxa" w:w="100"/>
              <w:right w:type="dxa" w:w="100"/>
            </w:tcMar>
          </w:tcPr>
          <w:p>
            <w:r>
              <w:rPr>
                <w:rFonts w:ascii="Arial" w:cs="Arial" w:eastAsia="Arial" w:hAnsi="Arial"/>
                <w:b/>
                <w:bCs/>
                <w:color w:val="FFFFFF"/>
                <w:sz w:val="20"/>
                <w:szCs w:val="20"/>
              </w:rPr>
              <w:t xml:space="preserve">Topic</w:t>
            </w:r>
          </w:p>
        </w:tc>
        <w:tc>
          <w:tcPr>
            <w:tcW w:type="dxa" w:w="4800"/>
            <w:tcBorders>
              <w:top w:val="single" w:color="1E3A5F" w:sz="8"/>
              <w:left w:val="single" w:color="1E3A5F" w:sz="8"/>
              <w:bottom w:val="single" w:color="1E3A5F" w:sz="8"/>
              <w:right w:val="single" w:color="1E3A5F" w:sz="8"/>
            </w:tcBorders>
            <w:shd w:fill="1E293B" w:val="clear"/>
            <w:tcMar>
              <w:top w:type="dxa" w:w="100"/>
              <w:left w:type="dxa" w:w="140"/>
              <w:bottom w:type="dxa" w:w="100"/>
              <w:right w:type="dxa" w:w="100"/>
            </w:tcMar>
          </w:tcPr>
          <w:p>
            <w:r>
              <w:rPr>
                <w:rFonts w:ascii="Arial" w:cs="Arial" w:eastAsia="Arial" w:hAnsi="Arial"/>
                <w:b/>
                <w:bCs/>
                <w:color w:val="FFFFFF"/>
                <w:sz w:val="20"/>
                <w:szCs w:val="20"/>
              </w:rPr>
              <w:t xml:space="preserve">Resource</w:t>
            </w:r>
          </w:p>
        </w:tc>
        <w:tc>
          <w:tcPr>
            <w:tcW w:type="dxa" w:w="2160"/>
            <w:tcBorders>
              <w:top w:val="single" w:color="1E3A5F" w:sz="8"/>
              <w:left w:val="single" w:color="1E3A5F" w:sz="8"/>
              <w:bottom w:val="single" w:color="1E3A5F" w:sz="8"/>
              <w:right w:val="single" w:color="1E3A5F" w:sz="8"/>
            </w:tcBorders>
            <w:shd w:fill="1E293B" w:val="clear"/>
            <w:tcMar>
              <w:top w:type="dxa" w:w="100"/>
              <w:left w:type="dxa" w:w="140"/>
              <w:bottom w:type="dxa" w:w="100"/>
              <w:right w:type="dxa" w:w="100"/>
            </w:tcMar>
          </w:tcPr>
          <w:p>
            <w:r>
              <w:rPr>
                <w:rFonts w:ascii="Arial" w:cs="Arial" w:eastAsia="Arial" w:hAnsi="Arial"/>
                <w:b/>
                <w:bCs/>
                <w:color w:val="FFFFFF"/>
                <w:sz w:val="20"/>
                <w:szCs w:val="20"/>
              </w:rPr>
              <w:t xml:space="preserve">Time</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Docker basics: containers and images</w:t>
            </w:r>
          </w:p>
        </w:tc>
        <w:tc>
          <w:tcPr>
            <w:tcW w:type="dxa" w:w="4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Docker official Getting Started guide</w:t>
            </w:r>
          </w:p>
        </w:tc>
        <w:tc>
          <w:tcPr>
            <w:tcW w:type="dxa" w:w="21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4 hours</w:t>
            </w:r>
          </w:p>
        </w:tc>
      </w:tr>
      <w:tr>
        <w:tc>
          <w:tcPr>
            <w:tcW w:type="dxa" w:w="24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GitHub Actions CI/CD</w:t>
            </w:r>
          </w:p>
        </w:tc>
        <w:tc>
          <w:tcPr>
            <w:tcW w:type="dxa" w:w="48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GitHub Actions docs — Quickstart</w:t>
            </w:r>
          </w:p>
        </w:tc>
        <w:tc>
          <w:tcPr>
            <w:tcW w:type="dxa" w:w="21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3 hours</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Railway deployment</w:t>
            </w:r>
          </w:p>
        </w:tc>
        <w:tc>
          <w:tcPr>
            <w:tcW w:type="dxa" w:w="4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docs.railway.app — Getting Started</w:t>
            </w:r>
          </w:p>
        </w:tc>
        <w:tc>
          <w:tcPr>
            <w:tcW w:type="dxa" w:w="21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2 hours</w:t>
            </w:r>
          </w:p>
        </w:tc>
      </w:tr>
    </w:tbl>
    <w:p>
      <w:pPr>
        <w:spacing w:after="240" w:before="0"/>
      </w:pPr>
      <w:r>
        <w:t xml:space="preserve"/>
      </w:r>
    </w:p>
    <w:p>
      <w:pPr>
        <w:pStyle w:val="Heading2"/>
        <w:spacing w:after="120" w:before="280"/>
      </w:pPr>
      <w:r>
        <w:rPr>
          <w:rFonts w:ascii="Arial" w:cs="Arial" w:eastAsia="Arial" w:hAnsi="Arial"/>
          <w:b/>
          <w:bCs/>
          <w:color w:val="2563EB"/>
          <w:sz w:val="28"/>
          <w:szCs w:val="28"/>
        </w:rPr>
        <w:t xml:space="preserve">9.2 Total Study Plan Hours by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1E3A5F" w:sz="8"/>
              <w:left w:val="single" w:color="1E3A5F" w:sz="8"/>
              <w:bottom w:val="single" w:color="1E3A5F" w:sz="8"/>
              <w:right w:val="single" w:color="1E3A5F" w:sz="8"/>
            </w:tcBorders>
            <w:shd w:fill="1E293B" w:val="clear"/>
            <w:tcMar>
              <w:top w:type="dxa" w:w="100"/>
              <w:left w:type="dxa" w:w="140"/>
              <w:bottom w:type="dxa" w:w="100"/>
              <w:right w:type="dxa" w:w="100"/>
            </w:tcMar>
          </w:tcPr>
          <w:p>
            <w:r>
              <w:rPr>
                <w:rFonts w:ascii="Arial" w:cs="Arial" w:eastAsia="Arial" w:hAnsi="Arial"/>
                <w:b/>
                <w:bCs/>
                <w:color w:val="FFFFFF"/>
                <w:sz w:val="20"/>
                <w:szCs w:val="20"/>
              </w:rPr>
              <w:t xml:space="preserve">Role</w:t>
            </w:r>
          </w:p>
        </w:tc>
        <w:tc>
          <w:tcPr>
            <w:tcW w:type="dxa" w:w="4200"/>
            <w:tcBorders>
              <w:top w:val="single" w:color="1E3A5F" w:sz="8"/>
              <w:left w:val="single" w:color="1E3A5F" w:sz="8"/>
              <w:bottom w:val="single" w:color="1E3A5F" w:sz="8"/>
              <w:right w:val="single" w:color="1E3A5F" w:sz="8"/>
            </w:tcBorders>
            <w:shd w:fill="1E293B" w:val="clear"/>
            <w:tcMar>
              <w:top w:type="dxa" w:w="100"/>
              <w:left w:type="dxa" w:w="140"/>
              <w:bottom w:type="dxa" w:w="100"/>
              <w:right w:type="dxa" w:w="100"/>
            </w:tcMar>
          </w:tcPr>
          <w:p>
            <w:r>
              <w:rPr>
                <w:rFonts w:ascii="Arial" w:cs="Arial" w:eastAsia="Arial" w:hAnsi="Arial"/>
                <w:b/>
                <w:bCs/>
                <w:color w:val="FFFFFF"/>
                <w:sz w:val="20"/>
                <w:szCs w:val="20"/>
              </w:rPr>
              <w:t xml:space="preserve">Primary Topics</w:t>
            </w:r>
          </w:p>
        </w:tc>
        <w:tc>
          <w:tcPr>
            <w:tcW w:type="dxa" w:w="3360"/>
            <w:tcBorders>
              <w:top w:val="single" w:color="1E3A5F" w:sz="8"/>
              <w:left w:val="single" w:color="1E3A5F" w:sz="8"/>
              <w:bottom w:val="single" w:color="1E3A5F" w:sz="8"/>
              <w:right w:val="single" w:color="1E3A5F" w:sz="8"/>
            </w:tcBorders>
            <w:shd w:fill="1E293B" w:val="clear"/>
            <w:tcMar>
              <w:top w:type="dxa" w:w="100"/>
              <w:left w:type="dxa" w:w="140"/>
              <w:bottom w:type="dxa" w:w="100"/>
              <w:right w:type="dxa" w:w="100"/>
            </w:tcMar>
          </w:tcPr>
          <w:p>
            <w:r>
              <w:rPr>
                <w:rFonts w:ascii="Arial" w:cs="Arial" w:eastAsia="Arial" w:hAnsi="Arial"/>
                <w:b/>
                <w:bCs/>
                <w:color w:val="FFFFFF"/>
                <w:sz w:val="20"/>
                <w:szCs w:val="20"/>
              </w:rPr>
              <w:t xml:space="preserve">Estimated Study Hours</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Email Integration</w:t>
            </w:r>
          </w:p>
        </w:tc>
        <w:tc>
          <w:tcPr>
            <w:tcW w:type="dxa" w:w="4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Gmail API, OAuth 2.0, Gmail Add-on development</w:t>
            </w:r>
          </w:p>
        </w:tc>
        <w:tc>
          <w:tcPr>
            <w:tcW w:type="dxa" w:w="3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10 hours</w:t>
            </w:r>
          </w:p>
        </w:tc>
      </w:tr>
      <w:tr>
        <w:tc>
          <w:tcPr>
            <w:tcW w:type="dxa" w:w="18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AI Agent Pipeline</w:t>
            </w:r>
          </w:p>
        </w:tc>
        <w:tc>
          <w:tcPr>
            <w:tcW w:type="dxa" w:w="4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LangChain.js, OpenAI API, prompt engineering</w:t>
            </w:r>
          </w:p>
        </w:tc>
        <w:tc>
          <w:tcPr>
            <w:tcW w:type="dxa" w:w="33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13 hours</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RAG Knowledge Engine</w:t>
            </w:r>
          </w:p>
        </w:tc>
        <w:tc>
          <w:tcPr>
            <w:tcW w:type="dxa" w:w="4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Embeddings, vector databases, chunking, RAGAS</w:t>
            </w:r>
          </w:p>
        </w:tc>
        <w:tc>
          <w:tcPr>
            <w:tcW w:type="dxa" w:w="3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11 hours</w:t>
            </w:r>
          </w:p>
        </w:tc>
      </w:tr>
      <w:tr>
        <w:tc>
          <w:tcPr>
            <w:tcW w:type="dxa" w:w="18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Frontend</w:t>
            </w:r>
          </w:p>
        </w:tc>
        <w:tc>
          <w:tcPr>
            <w:tcW w:type="dxa" w:w="4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React, Next.js, Gmail Add-on card UI</w:t>
            </w:r>
          </w:p>
        </w:tc>
        <w:tc>
          <w:tcPr>
            <w:tcW w:type="dxa" w:w="33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6 hours</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CRM and Client Store</w:t>
            </w:r>
          </w:p>
        </w:tc>
        <w:tc>
          <w:tcPr>
            <w:tcW w:type="dxa" w:w="4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HubSpot API, MongoDB schema design</w:t>
            </w:r>
          </w:p>
        </w:tc>
        <w:tc>
          <w:tcPr>
            <w:tcW w:type="dxa" w:w="3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5 hours</w:t>
            </w:r>
          </w:p>
        </w:tc>
      </w:tr>
      <w:tr>
        <w:tc>
          <w:tcPr>
            <w:tcW w:type="dxa" w:w="18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Testing and DevOps</w:t>
            </w:r>
          </w:p>
        </w:tc>
        <w:tc>
          <w:tcPr>
            <w:tcW w:type="dxa" w:w="4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Docker, GitHub Actions, Railway, testing frameworks</w:t>
            </w:r>
          </w:p>
        </w:tc>
        <w:tc>
          <w:tcPr>
            <w:tcW w:type="dxa" w:w="33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9 hours</w:t>
            </w:r>
          </w:p>
        </w:tc>
      </w:tr>
    </w:tbl>
    <w:p>
      <w:pPr>
        <w:spacing w:after="240" w:before="0"/>
      </w:pPr>
      <w:r>
        <w:t xml:space="preserve"/>
      </w:r>
    </w:p>
    <w:p>
      <w:pPr>
        <w:pageBreakBefore/>
      </w:pPr>
      <w:r>
        <w:t xml:space="preserve"/>
      </w:r>
    </w:p>
    <w:p>
      <w:pPr>
        <w:pStyle w:val="Heading1"/>
        <w:spacing w:after="160" w:before="360"/>
      </w:pPr>
      <w:r>
        <w:rPr>
          <w:rFonts w:ascii="Arial" w:cs="Arial" w:eastAsia="Arial" w:hAnsi="Arial"/>
          <w:b/>
          <w:bCs/>
          <w:color w:val="1E293B"/>
          <w:sz w:val="36"/>
          <w:szCs w:val="36"/>
        </w:rPr>
        <w:t xml:space="preserve">10. Suggested Product Names</w:t>
      </w:r>
    </w:p>
    <w:p>
      <w:pPr>
        <w:spacing w:after="100" w:before="60"/>
      </w:pPr>
      <w:r>
        <w:rPr>
          <w:rFonts w:ascii="Arial" w:cs="Arial" w:eastAsia="Arial" w:hAnsi="Arial"/>
          <w:b w:val="false"/>
          <w:bCs w:val="false"/>
          <w:color w:val="334155"/>
          <w:sz w:val="22"/>
          <w:szCs w:val="22"/>
        </w:rPr>
        <w:t xml:space="preserve">If this project were to become a commercial product, the name needs to communicate what it does, feel credible to a B2B buyer, and be easy to remember. The following options were evaluated: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1E3A5F" w:sz="8"/>
              <w:left w:val="single" w:color="1E3A5F" w:sz="8"/>
              <w:bottom w:val="single" w:color="1E3A5F" w:sz="8"/>
              <w:right w:val="single" w:color="1E3A5F" w:sz="8"/>
            </w:tcBorders>
            <w:shd w:fill="1E293B" w:val="clear"/>
            <w:tcMar>
              <w:top w:type="dxa" w:w="100"/>
              <w:left w:type="dxa" w:w="140"/>
              <w:bottom w:type="dxa" w:w="100"/>
              <w:right w:type="dxa" w:w="100"/>
            </w:tcMar>
          </w:tcPr>
          <w:p>
            <w:r>
              <w:rPr>
                <w:rFonts w:ascii="Arial" w:cs="Arial" w:eastAsia="Arial" w:hAnsi="Arial"/>
                <w:b/>
                <w:bCs/>
                <w:color w:val="FFFFFF"/>
                <w:sz w:val="20"/>
                <w:szCs w:val="20"/>
              </w:rPr>
              <w:t xml:space="preserve">Name</w:t>
            </w:r>
          </w:p>
        </w:tc>
        <w:tc>
          <w:tcPr>
            <w:tcW w:type="dxa" w:w="3600"/>
            <w:tcBorders>
              <w:top w:val="single" w:color="1E3A5F" w:sz="8"/>
              <w:left w:val="single" w:color="1E3A5F" w:sz="8"/>
              <w:bottom w:val="single" w:color="1E3A5F" w:sz="8"/>
              <w:right w:val="single" w:color="1E3A5F" w:sz="8"/>
            </w:tcBorders>
            <w:shd w:fill="1E293B" w:val="clear"/>
            <w:tcMar>
              <w:top w:type="dxa" w:w="100"/>
              <w:left w:type="dxa" w:w="140"/>
              <w:bottom w:type="dxa" w:w="100"/>
              <w:right w:type="dxa" w:w="100"/>
            </w:tcMar>
          </w:tcPr>
          <w:p>
            <w:r>
              <w:rPr>
                <w:rFonts w:ascii="Arial" w:cs="Arial" w:eastAsia="Arial" w:hAnsi="Arial"/>
                <w:b/>
                <w:bCs/>
                <w:color w:val="FFFFFF"/>
                <w:sz w:val="20"/>
                <w:szCs w:val="20"/>
              </w:rPr>
              <w:t xml:space="preserve">Why It Works</w:t>
            </w:r>
          </w:p>
        </w:tc>
        <w:tc>
          <w:tcPr>
            <w:tcW w:type="dxa" w:w="3960"/>
            <w:tcBorders>
              <w:top w:val="single" w:color="1E3A5F" w:sz="8"/>
              <w:left w:val="single" w:color="1E3A5F" w:sz="8"/>
              <w:bottom w:val="single" w:color="1E3A5F" w:sz="8"/>
              <w:right w:val="single" w:color="1E3A5F" w:sz="8"/>
            </w:tcBorders>
            <w:shd w:fill="1E293B" w:val="clear"/>
            <w:tcMar>
              <w:top w:type="dxa" w:w="100"/>
              <w:left w:type="dxa" w:w="140"/>
              <w:bottom w:type="dxa" w:w="100"/>
              <w:right w:type="dxa" w:w="100"/>
            </w:tcMar>
          </w:tcPr>
          <w:p>
            <w:r>
              <w:rPr>
                <w:rFonts w:ascii="Arial" w:cs="Arial" w:eastAsia="Arial" w:hAnsi="Arial"/>
                <w:b/>
                <w:bCs/>
                <w:color w:val="FFFFFF"/>
                <w:sz w:val="20"/>
                <w:szCs w:val="20"/>
              </w:rPr>
              <w:t xml:space="preserve">Potential Issue</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Inbox Sales Copilot</w:t>
            </w:r>
          </w:p>
        </w:tc>
        <w:tc>
          <w:tcPr>
            <w:tcW w:type="dxa" w:w="3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Clear, descriptive, positions it alongside Microsoft Copilot in the buyer's mind. 'Copilot' has become the widely understood term for AI that works alongside humans.</w:t>
            </w:r>
          </w:p>
        </w:tc>
        <w:tc>
          <w:tcPr>
            <w:tcW w:type="dxa" w:w="39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The word 'Copilot' is associated with Microsoft. Could cause confusion or trademark questions at scale.</w:t>
            </w:r>
          </w:p>
        </w:tc>
      </w:tr>
      <w:tr>
        <w:tc>
          <w:tcPr>
            <w:tcW w:type="dxa" w:w="18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ReplyIQ</w:t>
            </w:r>
          </w:p>
        </w:tc>
        <w:tc>
          <w:tcPr>
            <w:tcW w:type="dxa" w:w="36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Short, memorable, implies smart replies. 'IQ' signals intelligence without being generic.</w:t>
            </w:r>
          </w:p>
        </w:tc>
        <w:tc>
          <w:tcPr>
            <w:tcW w:type="dxa" w:w="39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Could be confused with Reply.io which is a competitor name.</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MailMind</w:t>
            </w:r>
          </w:p>
        </w:tc>
        <w:tc>
          <w:tcPr>
            <w:tcW w:type="dxa" w:w="3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Clean two-word combination. 'Mind' implies reasoning and understanding, not just automation.</w:t>
            </w:r>
          </w:p>
        </w:tc>
        <w:tc>
          <w:tcPr>
            <w:tcW w:type="dxa" w:w="39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Sounds consumer-grade. Might not feel enterprise enough for a B2B positioning.</w:t>
            </w:r>
          </w:p>
        </w:tc>
      </w:tr>
      <w:tr>
        <w:tc>
          <w:tcPr>
            <w:tcW w:type="dxa" w:w="18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InboxPilot</w:t>
            </w:r>
          </w:p>
        </w:tc>
        <w:tc>
          <w:tcPr>
            <w:tcW w:type="dxa" w:w="36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Drops 'sales' to make it domain-agnostic. More appropriate if the product expands beyond sales to general B2B operations.</w:t>
            </w:r>
          </w:p>
        </w:tc>
        <w:tc>
          <w:tcPr>
            <w:tcW w:type="dxa" w:w="39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Loses the specific sales positioning which is where the clear pain is.</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Clarix</w:t>
            </w:r>
          </w:p>
        </w:tc>
        <w:tc>
          <w:tcPr>
            <w:tcW w:type="dxa" w:w="3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Invented word suggesting clarity. Clean, SaaS-style name. Easy to trademark.</w:t>
            </w:r>
          </w:p>
        </w:tc>
        <w:tc>
          <w:tcPr>
            <w:tcW w:type="dxa" w:w="39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No descriptive meaning. Requires brand-building investment to communicate what it does.</w:t>
            </w:r>
          </w:p>
        </w:tc>
      </w:tr>
      <w:tr>
        <w:tc>
          <w:tcPr>
            <w:tcW w:type="dxa" w:w="18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Respondly</w:t>
            </w:r>
          </w:p>
        </w:tc>
        <w:tc>
          <w:tcPr>
            <w:tcW w:type="dxa" w:w="36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Implies fast, intelligent response. The '-ly' suffix is common in SaaS names.</w:t>
            </w:r>
          </w:p>
        </w:tc>
        <w:tc>
          <w:tcPr>
            <w:tcW w:type="dxa" w:w="39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Sounds too focused on outreach tools rather than inbound intelligence.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single" w:color="2563EB" w:sz="8"/>
              <w:bottom w:val="single" w:color="2563EB" w:sz="8"/>
              <w:right w:val="single" w:color="2563EB" w:sz="8"/>
            </w:tcBorders>
            <w:shd w:fill="DBEAFE" w:val="clear"/>
            <w:tcMar>
              <w:top w:type="dxa" w:w="160"/>
              <w:left w:type="dxa" w:w="200"/>
              <w:bottom w:type="dxa" w:w="160"/>
              <w:right w:type="dxa" w:w="200"/>
            </w:tcMar>
          </w:tcPr>
          <w:p>
            <w:pPr>
              <w:spacing w:after="60" w:before="0"/>
            </w:pPr>
            <w:r>
              <w:rPr>
                <w:rFonts w:ascii="Arial" w:cs="Arial" w:eastAsia="Arial" w:hAnsi="Arial"/>
                <w:b/>
                <w:bCs/>
                <w:color w:val="2563EB"/>
                <w:sz w:val="22"/>
                <w:szCs w:val="22"/>
              </w:rPr>
              <w:t xml:space="preserve">Recommendation</w:t>
            </w:r>
          </w:p>
          <w:p>
            <w:pPr>
              <w:spacing w:after="0" w:before="0"/>
            </w:pPr>
            <w:r>
              <w:rPr>
                <w:rFonts w:ascii="Arial" w:cs="Arial" w:eastAsia="Arial" w:hAnsi="Arial"/>
                <w:color w:val="1E293B"/>
                <w:sz w:val="22"/>
                <w:szCs w:val="22"/>
              </w:rPr>
              <w:t xml:space="preserve">Keep 'Inbox Sales Copilot' for the ITI capstone presentation and any internal documents. It is self-explanatory and positions the product clearly. If the project were to be commercialized, 'InboxPilot' or 'ReplyIQ' would be cleaner brand names that avoid the Microsoft Copilot association.</w:t>
            </w:r>
          </w:p>
        </w:tc>
      </w:tr>
    </w:tbl>
    <w:p>
      <w:pPr>
        <w:spacing w:after="240" w:before="0"/>
      </w:pPr>
      <w:r>
        <w:t xml:space="preserve"/>
      </w:r>
    </w:p>
    <w:p>
      <w:pPr>
        <w:pageBreakBefore/>
      </w:pPr>
      <w:r>
        <w:t xml:space="preserve"/>
      </w:r>
    </w:p>
    <w:p>
      <w:pPr>
        <w:pStyle w:val="Heading1"/>
        <w:spacing w:after="160" w:before="360"/>
      </w:pPr>
      <w:r>
        <w:rPr>
          <w:rFonts w:ascii="Arial" w:cs="Arial" w:eastAsia="Arial" w:hAnsi="Arial"/>
          <w:b/>
          <w:bCs/>
          <w:color w:val="1E293B"/>
          <w:sz w:val="36"/>
          <w:szCs w:val="36"/>
        </w:rPr>
        <w:t xml:space="preserve">11. Risks and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760"/>
      </w:tblGrid>
      <w:tr>
        <w:trPr>
          <w:tblHeader/>
        </w:trPr>
        <w:tc>
          <w:tcPr>
            <w:tcW w:type="dxa" w:w="2200"/>
            <w:tcBorders>
              <w:top w:val="single" w:color="1E3A5F" w:sz="8"/>
              <w:left w:val="single" w:color="1E3A5F" w:sz="8"/>
              <w:bottom w:val="single" w:color="1E3A5F" w:sz="8"/>
              <w:right w:val="single" w:color="1E3A5F" w:sz="8"/>
            </w:tcBorders>
            <w:shd w:fill="1E293B" w:val="clear"/>
            <w:tcMar>
              <w:top w:type="dxa" w:w="100"/>
              <w:left w:type="dxa" w:w="140"/>
              <w:bottom w:type="dxa" w:w="100"/>
              <w:right w:type="dxa" w:w="100"/>
            </w:tcMar>
          </w:tcPr>
          <w:p>
            <w:r>
              <w:rPr>
                <w:rFonts w:ascii="Arial" w:cs="Arial" w:eastAsia="Arial" w:hAnsi="Arial"/>
                <w:b/>
                <w:bCs/>
                <w:color w:val="FFFFFF"/>
                <w:sz w:val="20"/>
                <w:szCs w:val="20"/>
              </w:rPr>
              <w:t xml:space="preserve">Risk</w:t>
            </w:r>
          </w:p>
        </w:tc>
        <w:tc>
          <w:tcPr>
            <w:tcW w:type="dxa" w:w="1200"/>
            <w:tcBorders>
              <w:top w:val="single" w:color="1E3A5F" w:sz="8"/>
              <w:left w:val="single" w:color="1E3A5F" w:sz="8"/>
              <w:bottom w:val="single" w:color="1E3A5F" w:sz="8"/>
              <w:right w:val="single" w:color="1E3A5F" w:sz="8"/>
            </w:tcBorders>
            <w:shd w:fill="1E293B" w:val="clear"/>
            <w:tcMar>
              <w:top w:type="dxa" w:w="100"/>
              <w:left w:type="dxa" w:w="140"/>
              <w:bottom w:type="dxa" w:w="100"/>
              <w:right w:type="dxa" w:w="100"/>
            </w:tcMar>
          </w:tcPr>
          <w:p>
            <w:r>
              <w:rPr>
                <w:rFonts w:ascii="Arial" w:cs="Arial" w:eastAsia="Arial" w:hAnsi="Arial"/>
                <w:b/>
                <w:bCs/>
                <w:color w:val="FFFFFF"/>
                <w:sz w:val="20"/>
                <w:szCs w:val="20"/>
              </w:rPr>
              <w:t xml:space="preserve">Probability</w:t>
            </w:r>
          </w:p>
        </w:tc>
        <w:tc>
          <w:tcPr>
            <w:tcW w:type="dxa" w:w="1200"/>
            <w:tcBorders>
              <w:top w:val="single" w:color="1E3A5F" w:sz="8"/>
              <w:left w:val="single" w:color="1E3A5F" w:sz="8"/>
              <w:bottom w:val="single" w:color="1E3A5F" w:sz="8"/>
              <w:right w:val="single" w:color="1E3A5F" w:sz="8"/>
            </w:tcBorders>
            <w:shd w:fill="1E293B" w:val="clear"/>
            <w:tcMar>
              <w:top w:type="dxa" w:w="100"/>
              <w:left w:type="dxa" w:w="140"/>
              <w:bottom w:type="dxa" w:w="100"/>
              <w:right w:type="dxa" w:w="100"/>
            </w:tcMar>
          </w:tcPr>
          <w:p>
            <w:r>
              <w:rPr>
                <w:rFonts w:ascii="Arial" w:cs="Arial" w:eastAsia="Arial" w:hAnsi="Arial"/>
                <w:b/>
                <w:bCs/>
                <w:color w:val="FFFFFF"/>
                <w:sz w:val="20"/>
                <w:szCs w:val="20"/>
              </w:rPr>
              <w:t xml:space="preserve">Impact</w:t>
            </w:r>
          </w:p>
        </w:tc>
        <w:tc>
          <w:tcPr>
            <w:tcW w:type="dxa" w:w="4760"/>
            <w:tcBorders>
              <w:top w:val="single" w:color="1E3A5F" w:sz="8"/>
              <w:left w:val="single" w:color="1E3A5F" w:sz="8"/>
              <w:bottom w:val="single" w:color="1E3A5F" w:sz="8"/>
              <w:right w:val="single" w:color="1E3A5F" w:sz="8"/>
            </w:tcBorders>
            <w:shd w:fill="1E293B" w:val="clear"/>
            <w:tcMar>
              <w:top w:type="dxa" w:w="100"/>
              <w:left w:type="dxa" w:w="140"/>
              <w:bottom w:type="dxa" w:w="100"/>
              <w:right w:type="dxa" w:w="100"/>
            </w:tcMar>
          </w:tcPr>
          <w:p>
            <w:r>
              <w:rPr>
                <w:rFonts w:ascii="Arial" w:cs="Arial" w:eastAsia="Arial" w:hAnsi="Arial"/>
                <w:b/>
                <w:bCs/>
                <w:color w:val="FFFFFF"/>
                <w:sz w:val="20"/>
                <w:szCs w:val="20"/>
              </w:rPr>
              <w:t xml:space="preserve">Mitigation</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Product matching accuracy is below 70% on first pass</w:t>
            </w:r>
          </w:p>
        </w:tc>
        <w:tc>
          <w:tcPr>
            <w:tcW w:type="dxa" w:w="1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High</w:t>
            </w:r>
          </w:p>
        </w:tc>
        <w:tc>
          <w:tcPr>
            <w:tcW w:type="dxa" w:w="1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High</w:t>
            </w:r>
          </w:p>
        </w:tc>
        <w:tc>
          <w:tcPr>
            <w:tcW w:type="dxa" w:w="47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Budget 12 hours in Week 2 for prompt iteration. Build evaluation dataset in Week 1. Accept that 70% accuracy at Week 2 end is fine — polish to 85% in Week 3.</w:t>
            </w:r>
          </w:p>
        </w:tc>
      </w:tr>
      <w:tr>
        <w:tc>
          <w:tcPr>
            <w:tcW w:type="dxa" w:w="2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Gmail Add-on card framework is unfamiliar</w:t>
            </w:r>
          </w:p>
        </w:tc>
        <w:tc>
          <w:tcPr>
            <w:tcW w:type="dxa" w:w="1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Medium</w:t>
            </w:r>
          </w:p>
        </w:tc>
        <w:tc>
          <w:tcPr>
            <w:tcW w:type="dxa" w:w="1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Medium</w:t>
            </w:r>
          </w:p>
        </w:tc>
        <w:tc>
          <w:tcPr>
            <w:tcW w:type="dxa" w:w="47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Assign this to one dedicated person. Start development in Week 2 alongside the pipeline, not Week 3.</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Agent pipeline produces hallucinations in the demo</w:t>
            </w:r>
          </w:p>
        </w:tc>
        <w:tc>
          <w:tcPr>
            <w:tcW w:type="dxa" w:w="1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Medium</w:t>
            </w:r>
          </w:p>
        </w:tc>
        <w:tc>
          <w:tcPr>
            <w:tcW w:type="dxa" w:w="1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High</w:t>
            </w:r>
          </w:p>
        </w:tc>
        <w:tc>
          <w:tcPr>
            <w:tcW w:type="dxa" w:w="47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The self-reflection step specifically catches this. Additionally, run the demo with 100% of output reviewed before sending. Never auto-send during the live demo.</w:t>
            </w:r>
          </w:p>
        </w:tc>
      </w:tr>
      <w:tr>
        <w:tc>
          <w:tcPr>
            <w:tcW w:type="dxa" w:w="2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HubSpot API rate limits or auth issues</w:t>
            </w:r>
          </w:p>
        </w:tc>
        <w:tc>
          <w:tcPr>
            <w:tcW w:type="dxa" w:w="1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Low</w:t>
            </w:r>
          </w:p>
        </w:tc>
        <w:tc>
          <w:tcPr>
            <w:tcW w:type="dxa" w:w="1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Low</w:t>
            </w:r>
          </w:p>
        </w:tc>
        <w:tc>
          <w:tcPr>
            <w:tcW w:type="dxa" w:w="47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Use a private app token during development. Rate limits are 110 requests per 10 seconds — far above what one demo needs.</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Team coordination delays integration</w:t>
            </w:r>
          </w:p>
        </w:tc>
        <w:tc>
          <w:tcPr>
            <w:tcW w:type="dxa" w:w="1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Medium</w:t>
            </w:r>
          </w:p>
        </w:tc>
        <w:tc>
          <w:tcPr>
            <w:tcW w:type="dxa" w:w="1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Medium</w:t>
            </w:r>
          </w:p>
        </w:tc>
        <w:tc>
          <w:tcPr>
            <w:tcW w:type="dxa" w:w="47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Each member owns a clearly scoped module with defined input and output interfaces. Daily 15-minute standups in Weeks 2 and 3.</w:t>
            </w:r>
          </w:p>
        </w:tc>
      </w:tr>
      <w:tr>
        <w:tc>
          <w:tcPr>
            <w:tcW w:type="dxa" w:w="2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Cloud deployment fails in Week 4</w:t>
            </w:r>
          </w:p>
        </w:tc>
        <w:tc>
          <w:tcPr>
            <w:tcW w:type="dxa" w:w="1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Low</w:t>
            </w:r>
          </w:p>
        </w:tc>
        <w:tc>
          <w:tcPr>
            <w:tcW w:type="dxa" w:w="1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Medium</w:t>
            </w:r>
          </w:p>
        </w:tc>
        <w:tc>
          <w:tcPr>
            <w:tcW w:type="dxa" w:w="47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Deploy to Railway by Day 2 of Week 4. Keep 2 days buffer. Railway deployments typically take under 30 minutes.</w:t>
            </w:r>
          </w:p>
        </w:tc>
      </w:tr>
    </w:tbl>
    <w:p>
      <w:pPr>
        <w:spacing w:after="240" w:before="0"/>
      </w:pPr>
      <w:r>
        <w:t xml:space="preserve"/>
      </w:r>
    </w:p>
    <w:p>
      <w:pPr>
        <w:pageBreakBefore/>
      </w:pPr>
      <w:r>
        <w:t xml:space="preserve"/>
      </w:r>
    </w:p>
    <w:p>
      <w:pPr>
        <w:pStyle w:val="Heading1"/>
        <w:spacing w:after="160" w:before="360"/>
      </w:pPr>
      <w:r>
        <w:rPr>
          <w:rFonts w:ascii="Arial" w:cs="Arial" w:eastAsia="Arial" w:hAnsi="Arial"/>
          <w:b/>
          <w:bCs/>
          <w:color w:val="1E293B"/>
          <w:sz w:val="36"/>
          <w:szCs w:val="36"/>
        </w:rPr>
        <w:t xml:space="preserve">12. Future Roadmap</w:t>
      </w:r>
    </w:p>
    <w:p>
      <w:pPr>
        <w:spacing w:after="100" w:before="60"/>
      </w:pPr>
      <w:r>
        <w:rPr>
          <w:rFonts w:ascii="Arial" w:cs="Arial" w:eastAsia="Arial" w:hAnsi="Arial"/>
          <w:b w:val="false"/>
          <w:bCs w:val="false"/>
          <w:color w:val="334155"/>
          <w:sz w:val="22"/>
          <w:szCs w:val="22"/>
        </w:rPr>
        <w:t xml:space="preserve">The current scope covers Gmail-only operation with HubSpot CRM and a configurable knowledge base. These are the documented extensions that would turn this capstone into a production-grade product: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1E3A5F" w:sz="8"/>
              <w:left w:val="single" w:color="1E3A5F" w:sz="8"/>
              <w:bottom w:val="single" w:color="1E3A5F" w:sz="8"/>
              <w:right w:val="single" w:color="1E3A5F" w:sz="8"/>
            </w:tcBorders>
            <w:shd w:fill="1E293B" w:val="clear"/>
            <w:tcMar>
              <w:top w:type="dxa" w:w="100"/>
              <w:left w:type="dxa" w:w="140"/>
              <w:bottom w:type="dxa" w:w="100"/>
              <w:right w:type="dxa" w:w="100"/>
            </w:tcMar>
          </w:tcPr>
          <w:p>
            <w:r>
              <w:rPr>
                <w:rFonts w:ascii="Arial" w:cs="Arial" w:eastAsia="Arial" w:hAnsi="Arial"/>
                <w:b/>
                <w:bCs/>
                <w:color w:val="FFFFFF"/>
                <w:sz w:val="20"/>
                <w:szCs w:val="20"/>
              </w:rPr>
              <w:t xml:space="preserve">Extension</w:t>
            </w:r>
          </w:p>
        </w:tc>
        <w:tc>
          <w:tcPr>
            <w:tcW w:type="dxa" w:w="4400"/>
            <w:tcBorders>
              <w:top w:val="single" w:color="1E3A5F" w:sz="8"/>
              <w:left w:val="single" w:color="1E3A5F" w:sz="8"/>
              <w:bottom w:val="single" w:color="1E3A5F" w:sz="8"/>
              <w:right w:val="single" w:color="1E3A5F" w:sz="8"/>
            </w:tcBorders>
            <w:shd w:fill="1E293B" w:val="clear"/>
            <w:tcMar>
              <w:top w:type="dxa" w:w="100"/>
              <w:left w:type="dxa" w:w="140"/>
              <w:bottom w:type="dxa" w:w="100"/>
              <w:right w:type="dxa" w:w="100"/>
            </w:tcMar>
          </w:tcPr>
          <w:p>
            <w:r>
              <w:rPr>
                <w:rFonts w:ascii="Arial" w:cs="Arial" w:eastAsia="Arial" w:hAnsi="Arial"/>
                <w:b/>
                <w:bCs/>
                <w:color w:val="FFFFFF"/>
                <w:sz w:val="20"/>
                <w:szCs w:val="20"/>
              </w:rPr>
              <w:t xml:space="preserve">What It Adds</w:t>
            </w:r>
          </w:p>
        </w:tc>
        <w:tc>
          <w:tcPr>
            <w:tcW w:type="dxa" w:w="2560"/>
            <w:tcBorders>
              <w:top w:val="single" w:color="1E3A5F" w:sz="8"/>
              <w:left w:val="single" w:color="1E3A5F" w:sz="8"/>
              <w:bottom w:val="single" w:color="1E3A5F" w:sz="8"/>
              <w:right w:val="single" w:color="1E3A5F" w:sz="8"/>
            </w:tcBorders>
            <w:shd w:fill="1E293B" w:val="clear"/>
            <w:tcMar>
              <w:top w:type="dxa" w:w="100"/>
              <w:left w:type="dxa" w:w="140"/>
              <w:bottom w:type="dxa" w:w="100"/>
              <w:right w:type="dxa" w:w="100"/>
            </w:tcMar>
          </w:tcPr>
          <w:p>
            <w:r>
              <w:rPr>
                <w:rFonts w:ascii="Arial" w:cs="Arial" w:eastAsia="Arial" w:hAnsi="Arial"/>
                <w:b/>
                <w:bCs/>
                <w:color w:val="FFFFFF"/>
                <w:sz w:val="20"/>
                <w:szCs w:val="20"/>
              </w:rPr>
              <w:t xml:space="preserve">Effort</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Outlook / Microsoft 365 support</w:t>
            </w:r>
          </w:p>
        </w:tc>
        <w:tc>
          <w:tcPr>
            <w:tcW w:type="dxa" w:w="4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Same pipeline for Microsoft inboxes via MS Graph API. Doubles the addressable market immediately.</w:t>
            </w:r>
          </w:p>
        </w:tc>
        <w:tc>
          <w:tcPr>
            <w:tcW w:type="dxa" w:w="2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1-2 weeks</w:t>
            </w:r>
          </w:p>
        </w:tc>
      </w:tr>
      <w:tr>
        <w:tc>
          <w:tcPr>
            <w:tcW w:type="dxa" w:w="24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Arabic language processing</w:t>
            </w:r>
          </w:p>
        </w:tc>
        <w:tc>
          <w:tcPr>
            <w:tcW w:type="dxa" w:w="44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Full NLP support for Arabic email inputs, not just Arabic as a reply language. Critical for MENA market.</w:t>
            </w:r>
          </w:p>
        </w:tc>
        <w:tc>
          <w:tcPr>
            <w:tcW w:type="dxa" w:w="25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2-3 weeks + NLP expertise</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Chrome extension packaging</w:t>
            </w:r>
          </w:p>
        </w:tc>
        <w:tc>
          <w:tcPr>
            <w:tcW w:type="dxa" w:w="4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Allows installation directly from Chrome Web Store instead of requiring Google Workspace admin approval for the Add-on.</w:t>
            </w:r>
          </w:p>
        </w:tc>
        <w:tc>
          <w:tcPr>
            <w:tcW w:type="dxa" w:w="2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1 week</w:t>
            </w:r>
          </w:p>
        </w:tc>
      </w:tr>
      <w:tr>
        <w:tc>
          <w:tcPr>
            <w:tcW w:type="dxa" w:w="24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Salesforce CRM integration</w:t>
            </w:r>
          </w:p>
        </w:tc>
        <w:tc>
          <w:tcPr>
            <w:tcW w:type="dxa" w:w="44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Same sync logic as HubSpot but targeting Salesforce, which is the dominant CRM in enterprise.</w:t>
            </w:r>
          </w:p>
        </w:tc>
        <w:tc>
          <w:tcPr>
            <w:tcW w:type="dxa" w:w="25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1-2 weeks</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Voice email support</w:t>
            </w:r>
          </w:p>
        </w:tc>
        <w:tc>
          <w:tcPr>
            <w:tcW w:type="dxa" w:w="4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Process voice messages attached to emails. Transcribe and run through the same pipeline.</w:t>
            </w:r>
          </w:p>
        </w:tc>
        <w:tc>
          <w:tcPr>
            <w:tcW w:type="dxa" w:w="2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2-3 weeks</w:t>
            </w:r>
          </w:p>
        </w:tc>
      </w:tr>
      <w:tr>
        <w:tc>
          <w:tcPr>
            <w:tcW w:type="dxa" w:w="24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Multi-tenant SaaS packaging</w:t>
            </w:r>
          </w:p>
        </w:tc>
        <w:tc>
          <w:tcPr>
            <w:tcW w:type="dxa" w:w="44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Allow multiple companies to use the same platform with isolated knowledge bases and configurations.</w:t>
            </w:r>
          </w:p>
        </w:tc>
        <w:tc>
          <w:tcPr>
            <w:tcW w:type="dxa" w:w="25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r>
              <w:rPr>
                <w:rFonts w:ascii="Arial" w:cs="Arial" w:eastAsia="Arial" w:hAnsi="Arial"/>
                <w:color w:val="1E293B"/>
                <w:sz w:val="20"/>
                <w:szCs w:val="20"/>
              </w:rPr>
              <w:t xml:space="preserve">4-6 weeks engineering + infrastructure</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Proactive follow-up scheduling</w:t>
            </w:r>
          </w:p>
        </w:tc>
        <w:tc>
          <w:tcPr>
            <w:tcW w:type="dxa" w:w="4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The AI notices that a product inquiry from 3 days ago has not received a reply from the client, and suggests a follow-up draft.</w:t>
            </w:r>
          </w:p>
        </w:tc>
        <w:tc>
          <w:tcPr>
            <w:tcW w:type="dxa" w:w="2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r>
              <w:rPr>
                <w:rFonts w:ascii="Arial" w:cs="Arial" w:eastAsia="Arial" w:hAnsi="Arial"/>
                <w:color w:val="1E293B"/>
                <w:sz w:val="20"/>
                <w:szCs w:val="20"/>
              </w:rPr>
              <w:t xml:space="preserve">1-2 weeks</w:t>
            </w:r>
          </w:p>
        </w:tc>
      </w:tr>
    </w:tbl>
    <w:p>
      <w:pPr>
        <w:spacing w:after="240" w:before="0"/>
      </w:pPr>
      <w:r>
        <w:t xml:space="preserve"/>
      </w:r>
    </w:p>
    <w:p>
      <w:pPr>
        <w:pageBreakBefore/>
      </w:pPr>
      <w:r>
        <w:t xml:space="preserve"/>
      </w:r>
    </w:p>
    <w:p>
      <w:pPr>
        <w:pStyle w:val="Heading1"/>
        <w:spacing w:after="160" w:before="360"/>
      </w:pPr>
      <w:r>
        <w:rPr>
          <w:rFonts w:ascii="Arial" w:cs="Arial" w:eastAsia="Arial" w:hAnsi="Arial"/>
          <w:b/>
          <w:bCs/>
          <w:color w:val="1E293B"/>
          <w:sz w:val="36"/>
          <w:szCs w:val="36"/>
        </w:rPr>
        <w:t xml:space="preserve">Final Notes</w:t>
      </w:r>
    </w:p>
    <w:p>
      <w:pPr>
        <w:spacing w:after="100" w:before="60"/>
      </w:pPr>
      <w:r>
        <w:rPr>
          <w:rFonts w:ascii="Arial" w:cs="Arial" w:eastAsia="Arial" w:hAnsi="Arial"/>
          <w:b w:val="false"/>
          <w:bCs w:val="false"/>
          <w:color w:val="334155"/>
          <w:sz w:val="22"/>
          <w:szCs w:val="22"/>
        </w:rPr>
        <w:t xml:space="preserve">This document was written to give every team member a complete, honest picture of what Inbox Sales Copilot is, why it matters, how it works, and what is required to build it. It is not a sales pitch. It is a working reference.</w:t>
      </w:r>
    </w:p>
    <w:p>
      <w:pPr>
        <w:spacing w:after="100" w:before="60"/>
      </w:pPr>
      <w:r>
        <w:rPr>
          <w:rFonts w:ascii="Arial" w:cs="Arial" w:eastAsia="Arial" w:hAnsi="Arial"/>
          <w:b w:val="false"/>
          <w:bCs w:val="false"/>
          <w:color w:val="334155"/>
          <w:sz w:val="22"/>
          <w:szCs w:val="22"/>
        </w:rPr>
        <w:t xml:space="preserve">The most important thing to understand is that the value of this project is not in the technology — it is in the gap it fills. Every tool in the market either handles outbound email or manages a CRM or recommends products on websites. Nobody handles the inbound email with domain-specific product knowledge and then automatically updates the CRM as a side effect. That is the gap. That is what gets built.</w:t>
      </w:r>
    </w:p>
    <w:p>
      <w:pPr>
        <w:spacing w:after="100" w:before="60"/>
      </w:pPr>
      <w:r>
        <w:rPr>
          <w:rFonts w:ascii="Arial" w:cs="Arial" w:eastAsia="Arial" w:hAnsi="Arial"/>
          <w:b w:val="false"/>
          <w:bCs w:val="false"/>
          <w:color w:val="334155"/>
          <w:sz w:val="22"/>
          <w:szCs w:val="22"/>
        </w:rPr>
        <w:t xml:space="preserve">The demo case is real. Look2Innovate is a real company with a real product catalog and real clients around the world. The Luxor Museum scenario is a realistic version of the emails that arrive in their inbox every week. Building the demo around something real makes it easier to explain, easier to evaluate, and easier to defend when the instructor asks 'but does anyone actually need this?'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single" w:color="2563EB" w:sz="8"/>
              <w:bottom w:val="single" w:color="2563EB" w:sz="8"/>
              <w:right w:val="single" w:color="2563EB" w:sz="8"/>
            </w:tcBorders>
            <w:shd w:fill="DBEAFE" w:val="clear"/>
            <w:tcMar>
              <w:top w:type="dxa" w:w="160"/>
              <w:left w:type="dxa" w:w="200"/>
              <w:bottom w:type="dxa" w:w="160"/>
              <w:right w:type="dxa" w:w="200"/>
            </w:tcMar>
          </w:tcPr>
          <w:p>
            <w:pPr>
              <w:spacing w:after="60" w:before="0"/>
            </w:pPr>
            <w:r>
              <w:rPr>
                <w:rFonts w:ascii="Arial" w:cs="Arial" w:eastAsia="Arial" w:hAnsi="Arial"/>
                <w:b/>
                <w:bCs/>
                <w:color w:val="2563EB"/>
                <w:sz w:val="22"/>
                <w:szCs w:val="22"/>
              </w:rPr>
              <w:t xml:space="preserve">One Sentence Summary</w:t>
            </w:r>
          </w:p>
          <w:p>
            <w:pPr>
              <w:spacing w:after="0" w:before="0"/>
            </w:pPr>
            <w:r>
              <w:rPr>
                <w:rFonts w:ascii="Arial" w:cs="Arial" w:eastAsia="Arial" w:hAnsi="Arial"/>
                <w:color w:val="1E293B"/>
                <w:sz w:val="22"/>
                <w:szCs w:val="22"/>
              </w:rPr>
              <w:t xml:space="preserve">Inbox Sales Copilot connects to Gmail, reads every client email, recommends the right product using AI, updates the CRM automatically, and lets the engineer send the reply with one click — turning a 90-minute process into a 4-minute one.</w:t>
            </w:r>
          </w:p>
        </w:tc>
      </w:tr>
    </w:tbl>
    <w:p>
      <w:pPr>
        <w:spacing w:after="240" w:before="0"/>
      </w:pPr>
      <w:r>
        <w:t xml:space="preserve"/>
      </w:r>
    </w:p>
    <w:p>
      <w:pPr>
        <w:spacing w:before="200"/>
        <w:jc w:val="center"/>
      </w:pPr>
      <w:r>
        <w:rPr>
          <w:rFonts w:ascii="Arial" w:cs="Arial" w:eastAsia="Arial" w:hAnsi="Arial"/>
          <w:color w:val="94A3B8"/>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spacing w:before="80"/>
      <w:jc w:val="center"/>
    </w:pPr>
    <w:r>
      <w:rPr>
        <w:rFonts w:ascii="Arial" w:cs="Arial" w:eastAsia="Arial" w:hAnsi="Arial"/>
        <w:color w:val="94A3B8"/>
        <w:sz w:val="18"/>
        <w:szCs w:val="18"/>
      </w:rPr>
      <w:t xml:space="preserve">Team 2  |  ITI Capstone  |  Intake 46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pBdr>
      <w:spacing w:after="120" w:before="0"/>
      <w:jc w:val="right"/>
    </w:pPr>
    <w:r>
      <w:rPr>
        <w:rFonts w:ascii="Arial" w:cs="Arial" w:eastAsia="Arial" w:hAnsi="Arial"/>
        <w:color w:val="94A3B8"/>
        <w:sz w:val="18"/>
        <w:szCs w:val="18"/>
      </w:rPr>
      <w:t xml:space="preserve">Inbox Sales Copilot  |  Product Study &amp;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293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80" w:before="22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2026-04-23T08:23:43.659Z</dcterms:created>
  <dcterms:modified xsi:type="dcterms:W3CDTF">2026-04-23T08:23:43.661Z</dcterms:modified>
</cp:coreProperties>
</file>

<file path=docProps/custom.xml><?xml version="1.0" encoding="utf-8"?>
<Properties xmlns="http://schemas.openxmlformats.org/officeDocument/2006/custom-properties" xmlns:vt="http://schemas.openxmlformats.org/officeDocument/2006/docPropsVTypes"/>
</file>