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8630" w14:textId="77777777" w:rsidR="008B6505" w:rsidRPr="008B6505" w:rsidRDefault="008B6505" w:rsidP="008B6505">
      <w:pPr>
        <w:rPr>
          <w:b/>
          <w:bCs/>
        </w:rPr>
      </w:pPr>
      <w:r w:rsidRPr="008B6505">
        <w:rPr>
          <w:b/>
          <w:bCs/>
        </w:rPr>
        <w:t>Big Data Processing Architectures and Their Role in the Future of AI Systems</w:t>
      </w:r>
    </w:p>
    <w:p w14:paraId="4522C51D" w14:textId="77777777" w:rsidR="008B6505" w:rsidRPr="008B6505" w:rsidRDefault="008B6505" w:rsidP="008B6505">
      <w:pPr>
        <w:rPr>
          <w:b/>
          <w:bCs/>
        </w:rPr>
      </w:pPr>
      <w:r w:rsidRPr="008B6505">
        <w:rPr>
          <w:b/>
          <w:bCs/>
        </w:rPr>
        <w:t>Introduction</w:t>
      </w:r>
    </w:p>
    <w:p w14:paraId="61F0D608" w14:textId="33AC7659" w:rsidR="008B6505" w:rsidRPr="008B6505" w:rsidRDefault="008B6505" w:rsidP="008B6505">
      <w:r w:rsidRPr="008B6505">
        <w:t>Data-intensive systems have evolved significantly over the past decades, driven by increasing data volumes, higher performance requirements and more complex applications. Early database systems were primarily designed to support transactional workloads, focusing on correctness and low-latency operations. Later, analytical systems emerged to enable large-scale reporting and business intelligence. More recently, stream processing and event-driven architectures have been developed to handle continuously arriving data.</w:t>
      </w:r>
    </w:p>
    <w:p w14:paraId="6F4FCB58" w14:textId="034932F0" w:rsidR="008B6505" w:rsidRPr="008B6505" w:rsidRDefault="008B6505" w:rsidP="008B6505">
      <w:r w:rsidRPr="008B6505">
        <w:t>The rapid rise of Artificial Intelligence systems</w:t>
      </w:r>
      <w:r w:rsidR="00A41A59">
        <w:t xml:space="preserve">, </w:t>
      </w:r>
      <w:r w:rsidRPr="008B6505">
        <w:t>especially Large Language Models, Retrieval-Augmented Generation and autonomous AI agents</w:t>
      </w:r>
      <w:r w:rsidR="00A41A59">
        <w:t xml:space="preserve">, </w:t>
      </w:r>
      <w:r w:rsidRPr="008B6505">
        <w:t>has placed new demands on these architectures. AI systems continuously generate, consume and transform data at scale. They operate over structured records, unstructured text and high-dimensional vector embeddings, while also requiring low-latency access, data freshness and traceability.</w:t>
      </w:r>
    </w:p>
    <w:p w14:paraId="6338D206" w14:textId="20AED83A" w:rsidR="008B6505" w:rsidRPr="008B6505" w:rsidRDefault="008B6505" w:rsidP="008B6505">
      <w:r w:rsidRPr="008B6505">
        <w:t>As a result, architectural boundaries between analytical processing, streaming systems and serving layers are becoming increasingly blurred. This essay examines how classical data processing architectures support modern AI workloads, how streaming and incremental systems complement analytical processing and how new paradigms such as vector databases fit into the broader ecosystem. It also presents a technical position on how these systems are likely to evolve over the next decade.</w:t>
      </w:r>
    </w:p>
    <w:p w14:paraId="15DE0F1E" w14:textId="77777777" w:rsidR="008B6505" w:rsidRPr="008B6505" w:rsidRDefault="00000000" w:rsidP="008B6505">
      <w:r>
        <w:pict w14:anchorId="24DC0C19">
          <v:rect id="_x0000_i1025" style="width:0;height:1.5pt" o:hralign="center" o:hrstd="t" o:hr="t" fillcolor="#a0a0a0" stroked="f"/>
        </w:pict>
      </w:r>
    </w:p>
    <w:p w14:paraId="02F6AAB3" w14:textId="77777777" w:rsidR="008B6505" w:rsidRPr="008B6505" w:rsidRDefault="008B6505" w:rsidP="008B6505">
      <w:pPr>
        <w:rPr>
          <w:b/>
          <w:bCs/>
        </w:rPr>
      </w:pPr>
      <w:r w:rsidRPr="008B6505">
        <w:rPr>
          <w:b/>
          <w:bCs/>
        </w:rPr>
        <w:t>Analytical Processing Foundations</w:t>
      </w:r>
    </w:p>
    <w:p w14:paraId="4BFF3C5D" w14:textId="6EA9FEC9" w:rsidR="008B6505" w:rsidRPr="008B6505" w:rsidRDefault="008B6505" w:rsidP="008B6505">
      <w:r w:rsidRPr="008B6505">
        <w:t>Analytical processing systems, commonly referred to as OLAP systems, form the backbone of modern data architectures. Their primary purpose is to enable complex queries over large datasets, such as aggregations, joins and historical analyses. These systems differ fundamentally from transactional, or OLTP, systems, which are optimized for high-throughput, low-latency updates and point queries.</w:t>
      </w:r>
    </w:p>
    <w:p w14:paraId="19BBA37E" w14:textId="0AA05D6F" w:rsidR="008B6505" w:rsidRPr="008B6505" w:rsidRDefault="008B6505" w:rsidP="008B6505">
      <w:r w:rsidRPr="008B6505">
        <w:t>The architectural differences between OLTP and OLAP systems reflect their distinct workloads. Transactional systems prioritize strict consistency guarantees and fast response times for individual operations. Analytical systems, in contrast, are designed to efficiently scan large volumes of data and perform compute-intensive queries. To achieve this, they typically rely on column-oriented storage, distributed execution and relaxed consistency models.</w:t>
      </w:r>
    </w:p>
    <w:p w14:paraId="4E7BCBE0" w14:textId="452D1AE7" w:rsidR="008B6505" w:rsidRPr="008B6505" w:rsidRDefault="008B6505" w:rsidP="008B6505">
      <w:r w:rsidRPr="008B6505">
        <w:t xml:space="preserve">Indexes, materialized views and query optimization techniques play a central role in supporting analytical workloads. Rather than relying primarily on traditional B+ tree indexes, analytical systems often use lightweight indexing mechanisms such as column </w:t>
      </w:r>
      <w:r w:rsidRPr="008B6505">
        <w:lastRenderedPageBreak/>
        <w:t>statistics and data skipping techniques. Materialized views further improve performance by precomputing frequently used query results, allowing expensive aggregations to be reused across multiple queries.</w:t>
      </w:r>
    </w:p>
    <w:p w14:paraId="7E492591" w14:textId="6E6DF6DE" w:rsidR="008B6505" w:rsidRPr="008B6505" w:rsidRDefault="008B6505" w:rsidP="008B6505">
      <w:r w:rsidRPr="008B6505">
        <w:t>At large scale, maintaining materialized views efficiently becomes a critical challenge. Recomputing views from scratch whenever data changes is computationally expensive and often infeasible. Incremental view maintenance addresses this problem by updating views based only on the changes introduced by new or modified data. In distributed analytical systems, incremental maintenance is essential for balancing performance, cost and data freshness.</w:t>
      </w:r>
    </w:p>
    <w:p w14:paraId="573319AB" w14:textId="77777777" w:rsidR="008B6505" w:rsidRPr="008B6505" w:rsidRDefault="00000000" w:rsidP="008B6505">
      <w:r>
        <w:pict w14:anchorId="28C8EEA1">
          <v:rect id="_x0000_i1026" style="width:0;height:1.5pt" o:hralign="center" o:hrstd="t" o:hr="t" fillcolor="#a0a0a0" stroked="f"/>
        </w:pict>
      </w:r>
    </w:p>
    <w:p w14:paraId="5E6CA7D6" w14:textId="0BA49285" w:rsidR="008B6505" w:rsidRPr="008B6505" w:rsidRDefault="008B6505" w:rsidP="008B6505">
      <w:pPr>
        <w:rPr>
          <w:b/>
          <w:bCs/>
        </w:rPr>
      </w:pPr>
      <w:r w:rsidRPr="008B6505">
        <w:rPr>
          <w:b/>
          <w:bCs/>
        </w:rPr>
        <w:t>Streaming, Event Processing and Change Data Capture</w:t>
      </w:r>
    </w:p>
    <w:p w14:paraId="096F9A1B" w14:textId="77777777" w:rsidR="008B6505" w:rsidRPr="008B6505" w:rsidRDefault="008B6505" w:rsidP="008B6505">
      <w:r w:rsidRPr="008B6505">
        <w:t>While analytical systems traditionally operated on static or slowly changing datasets, many modern applications require insights derived from continuously arriving data. Stream processing systems were developed to address this need by enabling computations over unbounded streams of events. Rather than replacing batch analytics, these systems complement them by providing low-latency, incremental processing.</w:t>
      </w:r>
    </w:p>
    <w:p w14:paraId="1977BDBA" w14:textId="77777777" w:rsidR="008B6505" w:rsidRPr="008B6505" w:rsidRDefault="008B6505" w:rsidP="008B6505">
      <w:r w:rsidRPr="008B6505">
        <w:t>The conceptual boundary between streaming analytics and incremental batch processing has become increasingly blurred. Both approaches rely on maintaining state over time and updating results as new data arrives. Modern frameworks such as Apache Flink and Spark Structured Streaming unify these ideas by allowing developers to express streaming computations using declarative, SQL-like interfaces.</w:t>
      </w:r>
    </w:p>
    <w:p w14:paraId="21B639BA" w14:textId="28046649" w:rsidR="008B6505" w:rsidRPr="008B6505" w:rsidRDefault="008B6505" w:rsidP="008B6505">
      <w:r w:rsidRPr="008B6505">
        <w:t>Event streaming platforms, such as Apache Kafka, play a foundational role in these architectures. They provide durable, ordered logs of events that decouple data producers from data consumers. This decoupling allows multiple downstream systems</w:t>
      </w:r>
      <w:r w:rsidR="00A41A59">
        <w:t xml:space="preserve">, </w:t>
      </w:r>
      <w:r w:rsidRPr="008B6505">
        <w:t>including analytical engines, machine learning pipelines and monitoring tools</w:t>
      </w:r>
      <w:r w:rsidR="00A41A59">
        <w:t xml:space="preserve">, </w:t>
      </w:r>
      <w:r w:rsidRPr="008B6505">
        <w:t>to process the same data independently and at their own pace.</w:t>
      </w:r>
    </w:p>
    <w:p w14:paraId="66D14E0A" w14:textId="4BD4C95F" w:rsidR="008B6505" w:rsidRPr="008B6505" w:rsidRDefault="008B6505" w:rsidP="008B6505">
      <w:r w:rsidRPr="008B6505">
        <w:t>Change Data Capture (CDC) pipelines further strengthen the integration between transactional and analytical systems. CDC tools monitor operational databases and emit streams of data changes, capturing inserts, updates and deletions as they occur. These change streams can be consumed by analytical systems, feature pipelines, or AI services, enabling near-real-time synchronization without costly batch exports.</w:t>
      </w:r>
    </w:p>
    <w:p w14:paraId="06ABBBB0" w14:textId="3D3E2CF6" w:rsidR="008B6505" w:rsidRPr="008B6505" w:rsidRDefault="008B6505" w:rsidP="008B6505">
      <w:r w:rsidRPr="008B6505">
        <w:t>Despite their advantages, streaming and CDC-based architectures introduce trade-offs. Achieving low latency often increases system complexity and providing strong consistency guarantees can reduce throughput. In practice, many systems adopt eventual consistency models with clearly defined semantics, accepting some degree of staleness in exchange for scalability and resilience.</w:t>
      </w:r>
    </w:p>
    <w:p w14:paraId="054C118D" w14:textId="77777777" w:rsidR="008B6505" w:rsidRPr="008B6505" w:rsidRDefault="00000000" w:rsidP="008B6505">
      <w:r>
        <w:lastRenderedPageBreak/>
        <w:pict w14:anchorId="3F775E45">
          <v:rect id="_x0000_i1027" style="width:0;height:1.5pt" o:hralign="center" o:hrstd="t" o:hr="t" fillcolor="#a0a0a0" stroked="f"/>
        </w:pict>
      </w:r>
    </w:p>
    <w:p w14:paraId="524A140E" w14:textId="77777777" w:rsidR="008B6505" w:rsidRPr="008B6505" w:rsidRDefault="008B6505" w:rsidP="008B6505">
      <w:pPr>
        <w:rPr>
          <w:b/>
          <w:bCs/>
        </w:rPr>
      </w:pPr>
      <w:r w:rsidRPr="008B6505">
        <w:rPr>
          <w:b/>
          <w:bCs/>
        </w:rPr>
        <w:t>Implications for AI Systems</w:t>
      </w:r>
    </w:p>
    <w:p w14:paraId="7EF04203" w14:textId="154F9EFA" w:rsidR="008B6505" w:rsidRPr="008B6505" w:rsidRDefault="008B6505" w:rsidP="008B6505">
      <w:r w:rsidRPr="008B6505">
        <w:t>AI workloads place unique and demanding requirements on data processing architectures. Unlike traditional analytical queries, AI systems often operate in feedback loops where model outputs influence future inputs. User interactions, predictions and agent-generated actions continuously produce new data that must be processed and made available for subsequent queries or training.</w:t>
      </w:r>
    </w:p>
    <w:p w14:paraId="622160A1" w14:textId="77777777" w:rsidR="008B6505" w:rsidRPr="008B6505" w:rsidRDefault="008B6505" w:rsidP="008B6505">
      <w:r w:rsidRPr="008B6505">
        <w:t>This feedback-driven behavior significantly amplifies the importance of incremental computation. Recomputing features, embeddings, or retrieval indexes from scratch whenever new data arrives is both inefficient and slow. Incremental pipelines enable AI systems to remain responsive and up to date while keeping computational costs manageable.</w:t>
      </w:r>
    </w:p>
    <w:p w14:paraId="3584DDED" w14:textId="2A92ACD8" w:rsidR="008B6505" w:rsidRPr="008B6505" w:rsidRDefault="008B6505" w:rsidP="008B6505">
      <w:r w:rsidRPr="008B6505">
        <w:t>Training and fine-tuning LLMs still rely heavily on batch-oriented analytical processing. Large historical datasets, reproducibility requirements and the need for stable snapshots make data warehouses and offline processing pipelines essential. However, streaming and CDC pipelines increasingly contribute to these workflows by supplying fresh data and capturing real-world system behavior more accurately.</w:t>
      </w:r>
    </w:p>
    <w:p w14:paraId="454293FB" w14:textId="57FDB402" w:rsidR="008B6505" w:rsidRPr="008B6505" w:rsidRDefault="008B6505" w:rsidP="008B6505">
      <w:r w:rsidRPr="008B6505">
        <w:t>Retrieval-Augmented Generation systems highlight the tension between analytical and serving requirements. RAG systems require low-latency access to relevant data while also ensuring that retrieved information is fresh and contextually rich. This often results in layered architectures in which analytical systems act as sources of truth, streaming pipelines propagate updates and specialized serving layers handle real-time retrieval.</w:t>
      </w:r>
    </w:p>
    <w:p w14:paraId="2633D795" w14:textId="3AEF8CE4" w:rsidR="008B6505" w:rsidRPr="008B6505" w:rsidRDefault="008B6505" w:rsidP="008B6505">
      <w:r w:rsidRPr="008B6505">
        <w:t>As AI systems become more complex and autonomous, data lineage and observability become critical concerns. Understanding which data influenced a particular model output is essential for debugging, auditing and trust. Consequently, metadata management and versioning are becoming core components of AI-oriented data architectures.</w:t>
      </w:r>
    </w:p>
    <w:p w14:paraId="2DE228FA" w14:textId="77777777" w:rsidR="008B6505" w:rsidRPr="008B6505" w:rsidRDefault="00000000" w:rsidP="008B6505">
      <w:r>
        <w:pict w14:anchorId="6168575A">
          <v:rect id="_x0000_i1028" style="width:0;height:1.5pt" o:hralign="center" o:hrstd="t" o:hr="t" fillcolor="#a0a0a0" stroked="f"/>
        </w:pict>
      </w:r>
    </w:p>
    <w:p w14:paraId="584ABAFD" w14:textId="77777777" w:rsidR="008B6505" w:rsidRPr="008B6505" w:rsidRDefault="008B6505" w:rsidP="008B6505">
      <w:pPr>
        <w:rPr>
          <w:b/>
          <w:bCs/>
        </w:rPr>
      </w:pPr>
      <w:r w:rsidRPr="008B6505">
        <w:rPr>
          <w:b/>
          <w:bCs/>
        </w:rPr>
        <w:t>Vector Databases and New Indexing Paradigms</w:t>
      </w:r>
    </w:p>
    <w:p w14:paraId="45F45048" w14:textId="12FCCA57" w:rsidR="008B6505" w:rsidRPr="008B6505" w:rsidRDefault="008B6505" w:rsidP="008B6505">
      <w:r w:rsidRPr="008B6505">
        <w:t>Vector databases represent a significant shift in indexing and retrieval techniques. Instead of organizing data by exact keys or ordered values, vector databases enable similarity search over high-dimensional embeddings. This capability is crucial for semantic search, recommendation systems and RAG architectures, where approximate nearest neighbor search allows systems to retrieve conceptually similar items rather than exact matches.</w:t>
      </w:r>
    </w:p>
    <w:p w14:paraId="48B8A1DD" w14:textId="77777777" w:rsidR="008B6505" w:rsidRPr="008B6505" w:rsidRDefault="008B6505" w:rsidP="008B6505">
      <w:r w:rsidRPr="008B6505">
        <w:t xml:space="preserve">Despite their growing importance, vector databases should be viewed as specialized serving layers rather than full analytical systems. They typically provide limited support </w:t>
      </w:r>
      <w:r w:rsidRPr="008B6505">
        <w:lastRenderedPageBreak/>
        <w:t>for complex queries and rely on approximate algorithms that trade accuracy for speed. In practice, they complement rather than replace analytical engines.</w:t>
      </w:r>
    </w:p>
    <w:p w14:paraId="6E266E9A" w14:textId="06EB3856" w:rsidR="008B6505" w:rsidRPr="008B6505" w:rsidRDefault="008B6505" w:rsidP="008B6505">
      <w:r w:rsidRPr="008B6505">
        <w:t>Integrating vector databases into broader data architectures requires careful coordination. Embeddings must be generated and updated as source data changes, often using streaming or CDC pipelines. Meanwhile, analytical systems continue to store historical data, metadata and governance information. Maintaining consistency and managing versioning across these layers remains an open challenge, particularly as embedding models evolve over time.</w:t>
      </w:r>
    </w:p>
    <w:p w14:paraId="536E098C" w14:textId="77777777" w:rsidR="008B6505" w:rsidRPr="008B6505" w:rsidRDefault="00000000" w:rsidP="008B6505">
      <w:r>
        <w:pict w14:anchorId="7AEC132D">
          <v:rect id="_x0000_i1029" style="width:0;height:1.5pt" o:hralign="center" o:hrstd="t" o:hr="t" fillcolor="#a0a0a0" stroked="f"/>
        </w:pict>
      </w:r>
    </w:p>
    <w:p w14:paraId="3F712696" w14:textId="77777777" w:rsidR="008B6505" w:rsidRPr="008B6505" w:rsidRDefault="008B6505" w:rsidP="008B6505">
      <w:pPr>
        <w:rPr>
          <w:b/>
          <w:bCs/>
        </w:rPr>
      </w:pPr>
      <w:r w:rsidRPr="008B6505">
        <w:rPr>
          <w:b/>
          <w:bCs/>
        </w:rPr>
        <w:t>Future Outlook and Technical Positioning</w:t>
      </w:r>
    </w:p>
    <w:p w14:paraId="72E22374" w14:textId="08DCEEB9" w:rsidR="008B6505" w:rsidRPr="008B6505" w:rsidRDefault="008B6505" w:rsidP="008B6505">
      <w:r w:rsidRPr="008B6505">
        <w:t>AI workloads are likely to push data architectures toward greater conceptual unification while preserving physical specialization. Unified abstractions for working with batch data, streams and features are becoming increasingly common, but the underlying systems remain specialized to meet different performance and consistency requirements.</w:t>
      </w:r>
    </w:p>
    <w:p w14:paraId="6877069C" w14:textId="7EA5A531" w:rsidR="008B6505" w:rsidRPr="008B6505" w:rsidRDefault="008B6505" w:rsidP="008B6505">
      <w:r w:rsidRPr="008B6505">
        <w:t>Streaming platforms and incremental computation engines are emerging as central components of modern architectures, serving as the connective tissue between operational systems, analytical stores</w:t>
      </w:r>
      <w:r w:rsidR="00A41A59">
        <w:t xml:space="preserve"> </w:t>
      </w:r>
      <w:r w:rsidRPr="008B6505">
        <w:t>and AI services. Batch-oriented analytics will continue to play an important role in training and historical analysis but will become less prominent in user-facing applications.</w:t>
      </w:r>
    </w:p>
    <w:p w14:paraId="3945770C" w14:textId="4A44156C" w:rsidR="008B6505" w:rsidRPr="008B6505" w:rsidRDefault="008B6505" w:rsidP="008B6505">
      <w:r w:rsidRPr="008B6505">
        <w:t>Over the next five to ten years, successful data architectures will be guided by principles such as incrementality by default, clear separation of concerns, strong data lineage and event-driven design. As AI systems increasingly act as both consumers and producers of data, these principles will be essential for building scalable, maintainable and trustworthy systems.</w:t>
      </w:r>
    </w:p>
    <w:p w14:paraId="38F4E22C" w14:textId="77777777" w:rsidR="008B6505" w:rsidRPr="008B6505" w:rsidRDefault="00000000" w:rsidP="008B6505">
      <w:r>
        <w:pict w14:anchorId="4DA88C60">
          <v:rect id="_x0000_i1030" style="width:0;height:1.5pt" o:hralign="center" o:hrstd="t" o:hr="t" fillcolor="#a0a0a0" stroked="f"/>
        </w:pict>
      </w:r>
    </w:p>
    <w:p w14:paraId="25959185" w14:textId="77777777" w:rsidR="008B6505" w:rsidRPr="008B6505" w:rsidRDefault="008B6505" w:rsidP="008B6505">
      <w:pPr>
        <w:rPr>
          <w:b/>
          <w:bCs/>
        </w:rPr>
      </w:pPr>
      <w:r w:rsidRPr="008B6505">
        <w:rPr>
          <w:b/>
          <w:bCs/>
        </w:rPr>
        <w:t>Conclusion</w:t>
      </w:r>
    </w:p>
    <w:p w14:paraId="75FC657E" w14:textId="30F6B816" w:rsidR="008B6505" w:rsidRPr="008B6505" w:rsidRDefault="008B6505" w:rsidP="008B6505">
      <w:r w:rsidRPr="008B6505">
        <w:t>The rise of AI systems has fundamentally reshaped the requirements placed on data processing architectures. Analytical engines, streaming systems, CDC pipelines and vector databases each address different aspects of modern AI workloads, but none can operate effectively in isolation. Incremental computation and event-driven design provide the foundation for integrating these components into cohesive architectures.</w:t>
      </w:r>
    </w:p>
    <w:p w14:paraId="6ECE8C3B" w14:textId="0400F465" w:rsidR="008B6505" w:rsidRPr="008B6505" w:rsidRDefault="008B6505" w:rsidP="008B6505">
      <w:r w:rsidRPr="008B6505">
        <w:t>Rather than converging into a single monolithic system, the future of data processing lies in carefully designed ecosystems that balance specialization with integration. In this environment, AI workloads do not replace traditional analytics; instead, they amplify the need for scalable, incremental and observable data systems capable of evolving alongside increasingly autonomous models.</w:t>
      </w:r>
    </w:p>
    <w:p w14:paraId="04E69E36" w14:textId="77777777" w:rsidR="008B6505" w:rsidRPr="008B6505" w:rsidRDefault="00000000" w:rsidP="008B6505">
      <w:r>
        <w:lastRenderedPageBreak/>
        <w:pict w14:anchorId="561E0F6C">
          <v:rect id="_x0000_i1031" style="width:0;height:1.5pt" o:hralign="center" o:hrstd="t" o:hr="t" fillcolor="#a0a0a0" stroked="f"/>
        </w:pict>
      </w:r>
    </w:p>
    <w:p w14:paraId="1E502AF4" w14:textId="77777777" w:rsidR="008B6505" w:rsidRPr="008B6505" w:rsidRDefault="008B6505" w:rsidP="008B6505">
      <w:pPr>
        <w:rPr>
          <w:b/>
          <w:bCs/>
          <w:lang w:val="nl-NL"/>
        </w:rPr>
      </w:pPr>
      <w:r w:rsidRPr="008B6505">
        <w:rPr>
          <w:b/>
          <w:bCs/>
          <w:lang w:val="nl-NL"/>
        </w:rPr>
        <w:t>References</w:t>
      </w:r>
    </w:p>
    <w:p w14:paraId="048C8200" w14:textId="77777777" w:rsidR="008B6505" w:rsidRPr="008B6505" w:rsidRDefault="008B6505" w:rsidP="008B6505">
      <w:r w:rsidRPr="008B6505">
        <w:rPr>
          <w:lang w:val="nl-NL"/>
        </w:rPr>
        <w:t xml:space="preserve">Stonebraker, M. et al. </w:t>
      </w:r>
      <w:r w:rsidRPr="008B6505">
        <w:rPr>
          <w:i/>
          <w:iCs/>
        </w:rPr>
        <w:t>The End of an Architectural Era</w:t>
      </w:r>
      <w:r w:rsidRPr="008B6505">
        <w:t xml:space="preserve">. </w:t>
      </w:r>
      <w:r w:rsidRPr="008B6505">
        <w:rPr>
          <w:lang w:val="fr-FR"/>
        </w:rPr>
        <w:t>VLDB, 2007.</w:t>
      </w:r>
      <w:r w:rsidRPr="008B6505">
        <w:rPr>
          <w:lang w:val="fr-FR"/>
        </w:rPr>
        <w:br/>
        <w:t xml:space="preserve">Abadi, D. et al. </w:t>
      </w:r>
      <w:r w:rsidRPr="008B6505">
        <w:rPr>
          <w:i/>
          <w:iCs/>
        </w:rPr>
        <w:t>Column-Stores vs. Row-Stores</w:t>
      </w:r>
      <w:r w:rsidRPr="008B6505">
        <w:t>. SIGMOD, 2008.</w:t>
      </w:r>
      <w:r w:rsidRPr="008B6505">
        <w:br/>
        <w:t xml:space="preserve">Kreps, J. et al. </w:t>
      </w:r>
      <w:r w:rsidRPr="008B6505">
        <w:rPr>
          <w:i/>
          <w:iCs/>
        </w:rPr>
        <w:t>Kafka: A Distributed Messaging System for Log Processing</w:t>
      </w:r>
      <w:r w:rsidRPr="008B6505">
        <w:t>. LinkedIn Engineering.</w:t>
      </w:r>
      <w:r w:rsidRPr="008B6505">
        <w:br/>
        <w:t xml:space="preserve">Armbrust, M. et al. </w:t>
      </w:r>
      <w:r w:rsidRPr="008B6505">
        <w:rPr>
          <w:i/>
          <w:iCs/>
        </w:rPr>
        <w:t>Structured Streaming</w:t>
      </w:r>
      <w:r w:rsidRPr="008B6505">
        <w:t>. SIGMOD, 2018.</w:t>
      </w:r>
      <w:r w:rsidRPr="008B6505">
        <w:br/>
        <w:t xml:space="preserve">Chaudhuri, S., &amp; Dayal, U. </w:t>
      </w:r>
      <w:r w:rsidRPr="008B6505">
        <w:rPr>
          <w:i/>
          <w:iCs/>
        </w:rPr>
        <w:t>An Overview of Data Warehousing and OLAP Technology</w:t>
      </w:r>
      <w:r w:rsidRPr="008B6505">
        <w:t>. ACM SIGMOD Record.</w:t>
      </w:r>
      <w:r w:rsidRPr="008B6505">
        <w:br/>
        <w:t xml:space="preserve">Zaharia, M. et al. </w:t>
      </w:r>
      <w:r w:rsidRPr="008B6505">
        <w:rPr>
          <w:i/>
          <w:iCs/>
        </w:rPr>
        <w:t>Apache Spark: A Unified Engine for Big Data Processing</w:t>
      </w:r>
      <w:r w:rsidRPr="008B6505">
        <w:t>. Communications of the ACM.</w:t>
      </w:r>
      <w:r w:rsidRPr="008B6505">
        <w:br/>
        <w:t xml:space="preserve">Johnson, J. et al. </w:t>
      </w:r>
      <w:r w:rsidRPr="008B6505">
        <w:rPr>
          <w:i/>
          <w:iCs/>
        </w:rPr>
        <w:t>Billion-scale Similarity Search with FAISS</w:t>
      </w:r>
      <w:r w:rsidRPr="008B6505">
        <w:t>. Facebook AI Research.</w:t>
      </w:r>
      <w:r w:rsidRPr="008B6505">
        <w:br/>
        <w:t xml:space="preserve">Netflix Technology Blog. </w:t>
      </w:r>
      <w:r w:rsidRPr="008B6505">
        <w:rPr>
          <w:i/>
          <w:iCs/>
        </w:rPr>
        <w:t>Evolution of the Netflix Data Pipeline</w:t>
      </w:r>
      <w:r w:rsidRPr="008B6505">
        <w:t>.</w:t>
      </w:r>
    </w:p>
    <w:p w14:paraId="3D52686D" w14:textId="77777777" w:rsidR="00E32FBE" w:rsidRPr="00E32FBE" w:rsidRDefault="00E32FBE"/>
    <w:sectPr w:rsidR="00E32FBE" w:rsidRPr="00E32FBE" w:rsidSect="0061312B">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F88EC" w14:textId="77777777" w:rsidR="002857EB" w:rsidRDefault="002857EB" w:rsidP="008B6505">
      <w:pPr>
        <w:spacing w:after="0" w:line="240" w:lineRule="auto"/>
      </w:pPr>
      <w:r>
        <w:separator/>
      </w:r>
    </w:p>
  </w:endnote>
  <w:endnote w:type="continuationSeparator" w:id="0">
    <w:p w14:paraId="44AE8542" w14:textId="77777777" w:rsidR="002857EB" w:rsidRDefault="002857EB" w:rsidP="008B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8CA1B" w14:textId="77777777" w:rsidR="002857EB" w:rsidRDefault="002857EB" w:rsidP="008B6505">
      <w:pPr>
        <w:spacing w:after="0" w:line="240" w:lineRule="auto"/>
      </w:pPr>
      <w:r>
        <w:separator/>
      </w:r>
    </w:p>
  </w:footnote>
  <w:footnote w:type="continuationSeparator" w:id="0">
    <w:p w14:paraId="7A04AB88" w14:textId="77777777" w:rsidR="002857EB" w:rsidRDefault="002857EB" w:rsidP="008B65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D437" w14:textId="3C83A29E" w:rsidR="008B6505" w:rsidRPr="008B6505" w:rsidRDefault="008B6505">
    <w:pPr>
      <w:pStyle w:val="Header"/>
      <w:rPr>
        <w:lang w:val="de-AT"/>
      </w:rPr>
    </w:pPr>
    <w:r>
      <w:rPr>
        <w:lang w:val="de-AT"/>
      </w:rPr>
      <w:t>SBD3_Exercise04</w:t>
    </w:r>
    <w:r>
      <w:rPr>
        <w:lang w:val="de-AT"/>
      </w:rPr>
      <w:tab/>
    </w:r>
    <w:r>
      <w:rPr>
        <w:lang w:val="de-AT"/>
      </w:rPr>
      <w:tab/>
      <w:t>Karim Ortner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418"/>
    <w:multiLevelType w:val="multilevel"/>
    <w:tmpl w:val="5A2C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E30B8"/>
    <w:multiLevelType w:val="multilevel"/>
    <w:tmpl w:val="6D7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C5071"/>
    <w:multiLevelType w:val="multilevel"/>
    <w:tmpl w:val="68448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9436B"/>
    <w:multiLevelType w:val="multilevel"/>
    <w:tmpl w:val="36664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25CC4"/>
    <w:multiLevelType w:val="multilevel"/>
    <w:tmpl w:val="3A3E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8341A5"/>
    <w:multiLevelType w:val="multilevel"/>
    <w:tmpl w:val="1F72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C168D"/>
    <w:multiLevelType w:val="multilevel"/>
    <w:tmpl w:val="A41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67D98"/>
    <w:multiLevelType w:val="multilevel"/>
    <w:tmpl w:val="FBCC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41C63"/>
    <w:multiLevelType w:val="multilevel"/>
    <w:tmpl w:val="70FA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B0EC0"/>
    <w:multiLevelType w:val="multilevel"/>
    <w:tmpl w:val="20FA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5697D"/>
    <w:multiLevelType w:val="multilevel"/>
    <w:tmpl w:val="3D9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876C7"/>
    <w:multiLevelType w:val="multilevel"/>
    <w:tmpl w:val="13A4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162E1"/>
    <w:multiLevelType w:val="multilevel"/>
    <w:tmpl w:val="1FCE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5365D"/>
    <w:multiLevelType w:val="multilevel"/>
    <w:tmpl w:val="79B8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E158C1"/>
    <w:multiLevelType w:val="multilevel"/>
    <w:tmpl w:val="4040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01B96"/>
    <w:multiLevelType w:val="multilevel"/>
    <w:tmpl w:val="F642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55316"/>
    <w:multiLevelType w:val="multilevel"/>
    <w:tmpl w:val="51B8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D3680"/>
    <w:multiLevelType w:val="multilevel"/>
    <w:tmpl w:val="080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963EB"/>
    <w:multiLevelType w:val="multilevel"/>
    <w:tmpl w:val="CF22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322E6"/>
    <w:multiLevelType w:val="multilevel"/>
    <w:tmpl w:val="1A72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EC7ABA"/>
    <w:multiLevelType w:val="multilevel"/>
    <w:tmpl w:val="18A6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D09AE"/>
    <w:multiLevelType w:val="multilevel"/>
    <w:tmpl w:val="1244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676A24"/>
    <w:multiLevelType w:val="multilevel"/>
    <w:tmpl w:val="5478E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285308"/>
    <w:multiLevelType w:val="multilevel"/>
    <w:tmpl w:val="4BEA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758A0"/>
    <w:multiLevelType w:val="multilevel"/>
    <w:tmpl w:val="993A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670AA0"/>
    <w:multiLevelType w:val="multilevel"/>
    <w:tmpl w:val="74C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0149DF"/>
    <w:multiLevelType w:val="multilevel"/>
    <w:tmpl w:val="47760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F2F14"/>
    <w:multiLevelType w:val="multilevel"/>
    <w:tmpl w:val="7E58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A6F1B"/>
    <w:multiLevelType w:val="multilevel"/>
    <w:tmpl w:val="6D02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90403"/>
    <w:multiLevelType w:val="multilevel"/>
    <w:tmpl w:val="3B0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8D48D2"/>
    <w:multiLevelType w:val="multilevel"/>
    <w:tmpl w:val="B10A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51D5D"/>
    <w:multiLevelType w:val="multilevel"/>
    <w:tmpl w:val="7D28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668690">
    <w:abstractNumId w:val="14"/>
  </w:num>
  <w:num w:numId="2" w16cid:durableId="1880820163">
    <w:abstractNumId w:val="19"/>
  </w:num>
  <w:num w:numId="3" w16cid:durableId="971790962">
    <w:abstractNumId w:val="11"/>
  </w:num>
  <w:num w:numId="4" w16cid:durableId="1345017490">
    <w:abstractNumId w:val="2"/>
  </w:num>
  <w:num w:numId="5" w16cid:durableId="1030644769">
    <w:abstractNumId w:val="28"/>
  </w:num>
  <w:num w:numId="6" w16cid:durableId="1458571596">
    <w:abstractNumId w:val="7"/>
  </w:num>
  <w:num w:numId="7" w16cid:durableId="1762679242">
    <w:abstractNumId w:val="25"/>
  </w:num>
  <w:num w:numId="8" w16cid:durableId="1386222683">
    <w:abstractNumId w:val="23"/>
  </w:num>
  <w:num w:numId="9" w16cid:durableId="300353477">
    <w:abstractNumId w:val="10"/>
  </w:num>
  <w:num w:numId="10" w16cid:durableId="2065177363">
    <w:abstractNumId w:val="17"/>
  </w:num>
  <w:num w:numId="11" w16cid:durableId="933323846">
    <w:abstractNumId w:val="29"/>
  </w:num>
  <w:num w:numId="12" w16cid:durableId="428430983">
    <w:abstractNumId w:val="12"/>
  </w:num>
  <w:num w:numId="13" w16cid:durableId="1044718964">
    <w:abstractNumId w:val="16"/>
  </w:num>
  <w:num w:numId="14" w16cid:durableId="30494197">
    <w:abstractNumId w:val="9"/>
  </w:num>
  <w:num w:numId="15" w16cid:durableId="802037368">
    <w:abstractNumId w:val="27"/>
  </w:num>
  <w:num w:numId="16" w16cid:durableId="1496913750">
    <w:abstractNumId w:val="5"/>
  </w:num>
  <w:num w:numId="17" w16cid:durableId="243337832">
    <w:abstractNumId w:val="24"/>
  </w:num>
  <w:num w:numId="18" w16cid:durableId="463235946">
    <w:abstractNumId w:val="21"/>
  </w:num>
  <w:num w:numId="19" w16cid:durableId="382482497">
    <w:abstractNumId w:val="0"/>
  </w:num>
  <w:num w:numId="20" w16cid:durableId="377436729">
    <w:abstractNumId w:val="18"/>
  </w:num>
  <w:num w:numId="21" w16cid:durableId="642196622">
    <w:abstractNumId w:val="20"/>
  </w:num>
  <w:num w:numId="22" w16cid:durableId="116609753">
    <w:abstractNumId w:val="6"/>
  </w:num>
  <w:num w:numId="23" w16cid:durableId="759832969">
    <w:abstractNumId w:val="4"/>
  </w:num>
  <w:num w:numId="24" w16cid:durableId="1063288129">
    <w:abstractNumId w:val="15"/>
  </w:num>
  <w:num w:numId="25" w16cid:durableId="1365520606">
    <w:abstractNumId w:val="1"/>
  </w:num>
  <w:num w:numId="26" w16cid:durableId="340857208">
    <w:abstractNumId w:val="31"/>
  </w:num>
  <w:num w:numId="27" w16cid:durableId="680399218">
    <w:abstractNumId w:val="22"/>
  </w:num>
  <w:num w:numId="28" w16cid:durableId="1331521134">
    <w:abstractNumId w:val="30"/>
  </w:num>
  <w:num w:numId="29" w16cid:durableId="1903522020">
    <w:abstractNumId w:val="26"/>
  </w:num>
  <w:num w:numId="30" w16cid:durableId="875970354">
    <w:abstractNumId w:val="13"/>
  </w:num>
  <w:num w:numId="31" w16cid:durableId="694235826">
    <w:abstractNumId w:val="8"/>
  </w:num>
  <w:num w:numId="32" w16cid:durableId="17158882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9A"/>
    <w:rsid w:val="00153AF0"/>
    <w:rsid w:val="002857EB"/>
    <w:rsid w:val="002B211B"/>
    <w:rsid w:val="00592368"/>
    <w:rsid w:val="0061312B"/>
    <w:rsid w:val="00636FB3"/>
    <w:rsid w:val="00766268"/>
    <w:rsid w:val="008B6505"/>
    <w:rsid w:val="008E09E5"/>
    <w:rsid w:val="00904888"/>
    <w:rsid w:val="00A41A59"/>
    <w:rsid w:val="00A636F0"/>
    <w:rsid w:val="00B77244"/>
    <w:rsid w:val="00C87C9A"/>
    <w:rsid w:val="00E32FBE"/>
  </w:rsids>
  <m:mathPr>
    <m:mathFont m:val="Cambria Math"/>
    <m:brkBin m:val="before"/>
    <m:brkBinSub m:val="--"/>
    <m:smallFrac m:val="0"/>
    <m:dispDef/>
    <m:lMargin m:val="0"/>
    <m:rMargin m:val="0"/>
    <m:defJc m:val="centerGroup"/>
    <m:wrapIndent m:val="1440"/>
    <m:intLim m:val="subSup"/>
    <m:naryLim m:val="undOvr"/>
  </m:mathPr>
  <w:themeFontLang w:val="de-A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DD3A1"/>
  <w15:chartTrackingRefBased/>
  <w15:docId w15:val="{3E146A89-00F1-46E3-94C4-3429F1BFC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C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C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C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C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C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C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C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C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C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C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C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C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C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C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C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C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C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C9A"/>
    <w:rPr>
      <w:rFonts w:eastAsiaTheme="majorEastAsia" w:cstheme="majorBidi"/>
      <w:color w:val="272727" w:themeColor="text1" w:themeTint="D8"/>
    </w:rPr>
  </w:style>
  <w:style w:type="paragraph" w:styleId="Title">
    <w:name w:val="Title"/>
    <w:basedOn w:val="Normal"/>
    <w:next w:val="Normal"/>
    <w:link w:val="TitleChar"/>
    <w:uiPriority w:val="10"/>
    <w:qFormat/>
    <w:rsid w:val="00C87C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C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C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C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C9A"/>
    <w:pPr>
      <w:spacing w:before="160"/>
      <w:jc w:val="center"/>
    </w:pPr>
    <w:rPr>
      <w:i/>
      <w:iCs/>
      <w:color w:val="404040" w:themeColor="text1" w:themeTint="BF"/>
    </w:rPr>
  </w:style>
  <w:style w:type="character" w:customStyle="1" w:styleId="QuoteChar">
    <w:name w:val="Quote Char"/>
    <w:basedOn w:val="DefaultParagraphFont"/>
    <w:link w:val="Quote"/>
    <w:uiPriority w:val="29"/>
    <w:rsid w:val="00C87C9A"/>
    <w:rPr>
      <w:i/>
      <w:iCs/>
      <w:color w:val="404040" w:themeColor="text1" w:themeTint="BF"/>
    </w:rPr>
  </w:style>
  <w:style w:type="paragraph" w:styleId="ListParagraph">
    <w:name w:val="List Paragraph"/>
    <w:basedOn w:val="Normal"/>
    <w:uiPriority w:val="34"/>
    <w:qFormat/>
    <w:rsid w:val="00C87C9A"/>
    <w:pPr>
      <w:ind w:left="720"/>
      <w:contextualSpacing/>
    </w:pPr>
  </w:style>
  <w:style w:type="character" w:styleId="IntenseEmphasis">
    <w:name w:val="Intense Emphasis"/>
    <w:basedOn w:val="DefaultParagraphFont"/>
    <w:uiPriority w:val="21"/>
    <w:qFormat/>
    <w:rsid w:val="00C87C9A"/>
    <w:rPr>
      <w:i/>
      <w:iCs/>
      <w:color w:val="0F4761" w:themeColor="accent1" w:themeShade="BF"/>
    </w:rPr>
  </w:style>
  <w:style w:type="paragraph" w:styleId="IntenseQuote">
    <w:name w:val="Intense Quote"/>
    <w:basedOn w:val="Normal"/>
    <w:next w:val="Normal"/>
    <w:link w:val="IntenseQuoteChar"/>
    <w:uiPriority w:val="30"/>
    <w:qFormat/>
    <w:rsid w:val="00C87C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C9A"/>
    <w:rPr>
      <w:i/>
      <w:iCs/>
      <w:color w:val="0F4761" w:themeColor="accent1" w:themeShade="BF"/>
    </w:rPr>
  </w:style>
  <w:style w:type="character" w:styleId="IntenseReference">
    <w:name w:val="Intense Reference"/>
    <w:basedOn w:val="DefaultParagraphFont"/>
    <w:uiPriority w:val="32"/>
    <w:qFormat/>
    <w:rsid w:val="00C87C9A"/>
    <w:rPr>
      <w:b/>
      <w:bCs/>
      <w:smallCaps/>
      <w:color w:val="0F4761" w:themeColor="accent1" w:themeShade="BF"/>
      <w:spacing w:val="5"/>
    </w:rPr>
  </w:style>
  <w:style w:type="paragraph" w:styleId="Header">
    <w:name w:val="header"/>
    <w:basedOn w:val="Normal"/>
    <w:link w:val="HeaderChar"/>
    <w:uiPriority w:val="99"/>
    <w:unhideWhenUsed/>
    <w:rsid w:val="008B6505"/>
    <w:pPr>
      <w:tabs>
        <w:tab w:val="center" w:pos="4703"/>
        <w:tab w:val="right" w:pos="9406"/>
      </w:tabs>
      <w:spacing w:after="0" w:line="240" w:lineRule="auto"/>
    </w:pPr>
  </w:style>
  <w:style w:type="character" w:customStyle="1" w:styleId="HeaderChar">
    <w:name w:val="Header Char"/>
    <w:basedOn w:val="DefaultParagraphFont"/>
    <w:link w:val="Header"/>
    <w:uiPriority w:val="99"/>
    <w:rsid w:val="008B6505"/>
  </w:style>
  <w:style w:type="paragraph" w:styleId="Footer">
    <w:name w:val="footer"/>
    <w:basedOn w:val="Normal"/>
    <w:link w:val="FooterChar"/>
    <w:uiPriority w:val="99"/>
    <w:unhideWhenUsed/>
    <w:rsid w:val="008B6505"/>
    <w:pPr>
      <w:tabs>
        <w:tab w:val="center" w:pos="4703"/>
        <w:tab w:val="right" w:pos="9406"/>
      </w:tabs>
      <w:spacing w:after="0" w:line="240" w:lineRule="auto"/>
    </w:pPr>
  </w:style>
  <w:style w:type="character" w:customStyle="1" w:styleId="FooterChar">
    <w:name w:val="Footer Char"/>
    <w:basedOn w:val="DefaultParagraphFont"/>
    <w:link w:val="Footer"/>
    <w:uiPriority w:val="99"/>
    <w:rsid w:val="008B6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1662</Words>
  <Characters>9478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Ortner Karim - s2410929022</dc:creator>
  <cp:keywords/>
  <dc:description/>
  <cp:lastModifiedBy>Ortner Karim - s2410929022</cp:lastModifiedBy>
  <cp:revision>3</cp:revision>
  <dcterms:created xsi:type="dcterms:W3CDTF">2026-01-21T12:40:00Z</dcterms:created>
  <dcterms:modified xsi:type="dcterms:W3CDTF">2026-01-28T09:45:00Z</dcterms:modified>
</cp:coreProperties>
</file>