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7A4A"/>
          <w:sz w:val="52"/>
          <w:szCs w:val="52"/>
        </w:rPr>
        <w:t xml:space="preserve">KOMPETENCES DECLICK</w:t>
      </w:r>
    </w:p>
    <w:p>
      <w:pPr>
        <w:spacing w:after="240" w:before="0"/>
        <w:jc w:val="center"/>
      </w:pPr>
      <w:r>
        <w:rPr>
          <w:rFonts w:ascii="Arial" w:cs="Arial" w:eastAsia="Arial" w:hAnsi="Arial"/>
          <w:color w:val="666666"/>
          <w:sz w:val="26"/>
          <w:szCs w:val="26"/>
        </w:rPr>
        <w:t xml:space="preserve">African Professional Skills Certification Platform</w:t>
      </w:r>
    </w:p>
    <w:p>
      <w:pPr>
        <w:shd w:fill="1C2B3A" w:val="clear"/>
        <w:spacing w:after="120" w:before="240"/>
        <w:jc w:val="center"/>
      </w:pPr>
      <w:r>
        <w:rPr>
          <w:rFonts w:ascii="Arial" w:cs="Arial" w:eastAsia="Arial" w:hAnsi="Arial"/>
          <w:b/>
          <w:bCs/>
          <w:color w:val="FFFFFF"/>
          <w:sz w:val="44"/>
          <w:szCs w:val="44"/>
        </w:rPr>
        <w:t xml:space="preserve"> KD-HCBLM v2.0 — PLATFORM TECHNICAL SPECIFICATION </w:t>
      </w:r>
    </w:p>
    <w:p>
      <w:pPr>
        <w:shd w:fill="C0392B" w:val="clear"/>
        <w:spacing w:after="80" w:before="0"/>
        <w:jc w:val="center"/>
      </w:pPr>
      <w:r>
        <w:rPr>
          <w:rFonts w:ascii="Arial" w:cs="Arial" w:eastAsia="Arial" w:hAnsi="Arial"/>
          <w:b/>
          <w:bCs/>
          <w:color w:val="FFFFFF"/>
          <w:sz w:val="28"/>
          <w:szCs w:val="28"/>
        </w:rPr>
        <w:t xml:space="preserve"> Requirements &amp; Constraints for the Platform Provider </w:t>
      </w:r>
    </w:p>
    <w:p>
      <w:r>
        <w:t xml:space="preserve"/>
      </w:r>
    </w:p>
    <w:p>
      <w:pPr>
        <w:spacing w:after="80" w:before="160"/>
        <w:jc w:val="center"/>
      </w:pPr>
      <w:r>
        <w:rPr>
          <w:rFonts w:ascii="Arial" w:cs="Arial" w:eastAsia="Arial" w:hAnsi="Arial"/>
          <w:color w:val="888888"/>
          <w:sz w:val="22"/>
          <w:szCs w:val="22"/>
        </w:rPr>
        <w:t xml:space="preserve">Version 2.0  |  Confidential — Platform Provider Use Only</w:t>
      </w:r>
    </w:p>
    <w:p>
      <w:pPr>
        <w:spacing w:after="80" w:before="0"/>
        <w:jc w:val="center"/>
      </w:pPr>
      <w:r>
        <w:rPr>
          <w:rFonts w:ascii="Arial" w:cs="Arial" w:eastAsia="Arial" w:hAnsi="Arial"/>
          <w:i/>
          <w:iCs/>
          <w:color w:val="888888"/>
          <w:sz w:val="22"/>
          <w:szCs w:val="22"/>
        </w:rPr>
        <w:t xml:space="preserve">This document defines the platform requirements that Kompetences Declick expects its platform provider to meet in full.</w:t>
      </w:r>
    </w:p>
    <w:p>
      <w:pPr>
        <w:spacing w:after="80" w:before="0"/>
        <w:jc w:val="center"/>
      </w:pPr>
      <w:r>
        <w:rPr>
          <w:rFonts w:ascii="Arial" w:cs="Arial" w:eastAsia="Arial" w:hAnsi="Arial"/>
          <w:b/>
          <w:bCs/>
          <w:i/>
          <w:iCs/>
          <w:color w:val="C0392B"/>
          <w:sz w:val="22"/>
          <w:szCs w:val="22"/>
        </w:rPr>
        <w:t xml:space="preserve">Non-compliance with non-negotiable requirements will prevent certification of KD-HCBLM v2.0 courses on the platform.</w:t>
      </w:r>
    </w:p>
    <w:p>
      <w:r>
        <w:br w:type="page"/>
      </w:r>
    </w:p>
    <w:p>
      <w:pPr>
        <w:shd w:fill="1C2B3A" w:val="clear"/>
        <w:spacing w:after="200" w:before="320"/>
      </w:pPr>
      <w:r>
        <w:rPr>
          <w:rFonts w:ascii="Arial" w:cs="Arial" w:eastAsia="Arial" w:hAnsi="Arial"/>
          <w:b/>
          <w:bCs/>
          <w:color w:val="FFFFFF"/>
          <w:sz w:val="30"/>
          <w:szCs w:val="30"/>
        </w:rPr>
        <w:t xml:space="preserve">  HOW TO READ THIS DOCUMENT  </w:t>
      </w:r>
    </w:p>
    <w:p>
      <w:r>
        <w:t xml:space="preserve"/>
      </w:r>
    </w:p>
    <w:p>
      <w:pPr>
        <w:spacing w:after="80" w:before="80"/>
      </w:pPr>
      <w:r>
        <w:rPr>
          <w:rFonts w:ascii="Arial" w:cs="Arial" w:eastAsia="Arial" w:hAnsi="Arial"/>
          <w:color w:val="222222"/>
          <w:sz w:val="22"/>
          <w:szCs w:val="22"/>
        </w:rPr>
        <w:t xml:space="preserve">Every platform feature described in this document carries one of three requirement levels. These labels are not suggestions — they define what Kompetences Declick expects to be delivered before the platform is considered fit for production use.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32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0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Consequence of non-compliance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  NON-NEGOTIABLE</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KD-HCBLM v2.0 model cannot function without this capability. It is a structural dependency, not a feature preference.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Platform cannot be certified. Contract cannot proceed to production phase.</w:t>
            </w:r>
          </w:p>
        </w:tc>
      </w:tr>
      <w:tr>
        <w:tc>
          <w:tcPr>
            <w:tcW w:type="dxa" w:w="14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  CRITICAL</w:t>
            </w:r>
          </w:p>
        </w:tc>
        <w:tc>
          <w:tcPr>
            <w:tcW w:type="dxa" w:w="43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Absence of this capability will materially degrade learner experience, completion rates, or certification integrity.</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Accepted only as a short-term gap with a binding delivery commitment and timeline in writing.</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  REQUIRED</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Standard capability expected of any professional LMS operating at this level. Must be present at launch.</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Absence must be flagged in advance and resolved before the agreed go-live date.</w:t>
            </w:r>
          </w:p>
        </w:tc>
      </w:tr>
    </w:tbl>
    <w:p>
      <w:r>
        <w:t xml:space="preserve"/>
      </w:r>
    </w:p>
    <w:p>
      <w:pPr>
        <w:shd w:fill="EAFAF1" w:val="clear"/>
        <w:spacing w:after="0" w:before="100"/>
      </w:pPr>
      <w:r>
        <w:rPr>
          <w:rFonts w:ascii="Arial" w:cs="Arial" w:eastAsia="Arial" w:hAnsi="Arial"/>
          <w:b/>
          <w:bCs/>
          <w:color w:val="1A7A4A"/>
          <w:sz w:val="20"/>
          <w:szCs w:val="20"/>
        </w:rPr>
        <w:t xml:space="preserve">  Why this document exists</w:t>
      </w:r>
    </w:p>
    <w:p>
      <w:pPr>
        <w:shd w:fill="EAFAF1" w:val="clear"/>
        <w:spacing w:after="100" w:before="0"/>
      </w:pPr>
      <w:r>
        <w:rPr>
          <w:rFonts w:ascii="Arial" w:cs="Arial" w:eastAsia="Arial" w:hAnsi="Arial"/>
          <w:color w:val="222222"/>
          <w:sz w:val="21"/>
          <w:szCs w:val="21"/>
        </w:rPr>
        <w:t xml:space="preserve">  The KD-HCBLM v2.0 model is not a set of guidelines — it is an operational standard. Every mechanism described in this document exists because it directly affects completion rates, certification integrity, or learner outcomes. The platform provider must understand that these requirements were not derived from feature wish-lists. They were derived from the specific failure modes of e-learning in the African market that Kompetences Declick was built to solve.</w:t>
      </w:r>
    </w:p>
    <w:p>
      <w:r>
        <w:br w:type="page"/>
      </w:r>
    </w:p>
    <w:p>
      <w:pPr>
        <w:shd w:fill="1A7A4A" w:val="clear"/>
        <w:spacing w:after="200" w:before="320"/>
      </w:pPr>
      <w:r>
        <w:rPr>
          <w:rFonts w:ascii="Arial" w:cs="Arial" w:eastAsia="Arial" w:hAnsi="Arial"/>
          <w:b/>
          <w:bCs/>
          <w:color w:val="FFFFFF"/>
          <w:sz w:val="30"/>
          <w:szCs w:val="30"/>
        </w:rPr>
        <w:t xml:space="preserve">  1. WHAT THIS PLATFORM MUST DELIVER  </w:t>
      </w:r>
    </w:p>
    <w:p>
      <w:r>
        <w:t xml:space="preserve"/>
      </w:r>
    </w:p>
    <w:p>
      <w:pPr>
        <w:spacing w:after="80" w:before="80"/>
      </w:pPr>
      <w:r>
        <w:rPr>
          <w:rFonts w:ascii="Arial" w:cs="Arial" w:eastAsia="Arial" w:hAnsi="Arial"/>
          <w:color w:val="222222"/>
          <w:sz w:val="22"/>
          <w:szCs w:val="22"/>
        </w:rPr>
        <w:t xml:space="preserve">Kompetences Declick operates Africa's first contextualised, competency-based soft skills certification system. The platform is not a content hosting tool — it is the operational infrastructure that makes the KD-HCBLM v2.0 instructional model function at scale. Every technical requirement in this document maps directly to a pedagogical mechanism that has a measurable impact on the outcomes Kompetences Declick has committed to delivering to its learners, clients and investors.</w:t>
      </w:r>
    </w:p>
    <w:p>
      <w:r>
        <w:t xml:space="preserve"/>
      </w:r>
    </w:p>
    <w:p>
      <w:pPr>
        <w:spacing w:after="80" w:before="80"/>
      </w:pPr>
      <w:r>
        <w:rPr>
          <w:rFonts w:ascii="Arial" w:cs="Arial" w:eastAsia="Arial" w:hAnsi="Arial"/>
          <w:color w:val="222222"/>
          <w:sz w:val="22"/>
          <w:szCs w:val="22"/>
        </w:rPr>
        <w:t xml:space="preserve">The platform provider is expected to deliver infrastructure that supports the following outcomes without exception: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576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Platform dependency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Completion rates measurably above the African e-learning baseline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Auto-resume, session autonomy, progress visibility, re-engagement automation, badge events</w:t>
            </w:r>
          </w:p>
        </w:tc>
      </w:tr>
      <w:tr>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Certification integrity that satisfies employer and institutional scrutiny</w:t>
            </w:r>
          </w:p>
        </w:tc>
        <w:tc>
          <w:tcPr>
            <w:tcW w:type="dxa" w:w="5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Block-gated progression, graded quiz enforcement, Block 4 project management, Open Badges 2.0 output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Personalised learning experience at scale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PAM capture, storage and systematic reuse across all course touchpoints</w:t>
            </w:r>
          </w:p>
        </w:tc>
      </w:tr>
      <w:tr>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Reach across the actual African learner device mix</w:t>
            </w:r>
          </w:p>
        </w:tc>
        <w:tc>
          <w:tcPr>
            <w:tcW w:type="dxa" w:w="5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Mobile-first rendering, offline compatibility, adaptive video streaming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Data-driven reporting for enterprise and institutional clients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Full xAPI logging, cohort-level analytics, API access for employer verification</w:t>
            </w:r>
          </w:p>
        </w:tc>
      </w:tr>
    </w:tbl>
    <w:p>
      <w:r>
        <w:t xml:space="preserve"/>
      </w:r>
    </w:p>
    <w:p>
      <w:pPr>
        <w:shd w:fill="EAFAF1" w:val="clear"/>
        <w:spacing w:after="0" w:before="100"/>
      </w:pPr>
      <w:r>
        <w:rPr>
          <w:rFonts w:ascii="Arial" w:cs="Arial" w:eastAsia="Arial" w:hAnsi="Arial"/>
          <w:b/>
          <w:bCs/>
          <w:color w:val="1A7A4A"/>
          <w:sz w:val="20"/>
          <w:szCs w:val="20"/>
        </w:rPr>
        <w:t xml:space="preserve">  Scale context</w:t>
      </w:r>
    </w:p>
    <w:p>
      <w:pPr>
        <w:shd w:fill="EAFAF1" w:val="clear"/>
        <w:spacing w:after="100" w:before="0"/>
      </w:pPr>
      <w:r>
        <w:rPr>
          <w:rFonts w:ascii="Arial" w:cs="Arial" w:eastAsia="Arial" w:hAnsi="Arial"/>
          <w:color w:val="222222"/>
          <w:sz w:val="21"/>
          <w:szCs w:val="21"/>
        </w:rPr>
        <w:t xml:space="preserve">  The platform must be architected to serve learners across multiple African countries simultaneously, with variable connectivity, mixed device types (primarily smartphones), and an expectation of growth from initial launch volumes to tens of thousands of concurrent learners within 18 to 24 months of production launch. Performance and scalability requirements must be scoped accordingly.</w:t>
      </w:r>
    </w:p>
    <w:p>
      <w:r>
        <w:br w:type="page"/>
      </w:r>
    </w:p>
    <w:p>
      <w:pPr>
        <w:shd w:fill="1A5CA8" w:val="clear"/>
        <w:spacing w:after="200" w:before="320"/>
      </w:pPr>
      <w:r>
        <w:rPr>
          <w:rFonts w:ascii="Arial" w:cs="Arial" w:eastAsia="Arial" w:hAnsi="Arial"/>
          <w:b/>
          <w:bCs/>
          <w:color w:val="FFFFFF"/>
          <w:sz w:val="30"/>
          <w:szCs w:val="30"/>
        </w:rPr>
        <w:t xml:space="preserve">  2. PILLAR 1 — PERSONAL ANCHORING MOMENT (PAM): PLATFORM REQUIREMENTS  </w:t>
      </w:r>
    </w:p>
    <w:p>
      <w:r>
        <w:t xml:space="preserve"/>
      </w:r>
    </w:p>
    <w:p>
      <w:pPr>
        <w:spacing w:after="80" w:before="80"/>
      </w:pPr>
      <w:r>
        <w:rPr>
          <w:rFonts w:ascii="Arial" w:cs="Arial" w:eastAsia="Arial" w:hAnsi="Arial"/>
          <w:color w:val="222222"/>
          <w:sz w:val="22"/>
          <w:szCs w:val="22"/>
        </w:rPr>
        <w:t xml:space="preserve">The Personal Anchoring Moment is the single most distinctive mechanism of the KD-HCBLM v2.0 model. It is what makes every course about this learner's real situation — not about an abstract competency domain. Its effectiveness depends entirely on the platform's ability to capture, store, and systematically reuse the learner's PAM input throughout the course. A platform that stores the PAM but does not reuse it has failed to implement Pillar 1.</w:t>
      </w:r>
    </w:p>
    <w:p>
      <w:r>
        <w:t xml:space="preserve"/>
      </w:r>
    </w:p>
    <w:p>
      <w:pPr>
        <w:pStyle w:val="Heading2"/>
        <w:spacing w:after="140" w:before="280"/>
      </w:pPr>
      <w:r>
        <w:rPr>
          <w:rFonts w:ascii="Arial" w:cs="Arial" w:eastAsia="Arial" w:hAnsi="Arial"/>
          <w:b/>
          <w:bCs/>
          <w:color w:val="1A5CA8"/>
          <w:sz w:val="28"/>
          <w:szCs w:val="28"/>
        </w:rPr>
        <w:t xml:space="preserve">2.1  PAM Capture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provide a free-text input field at Block 0, before any video content is accessible. The PAM field must be presented as the first interaction the learner has with the course — not buried in an onboarding flow or presented as optional.</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Completion of the PAM field must be mandatory before the learner can advance to the positioning diagnostic or any subsequent course element. The platform must enforce this gate without exception.</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The PAM input field must accept a minimum of 500 characters and display a character count. It must be fully functional on mobile (responsive text input, no keyboard clipping, no auto-dismiss on mobile browsers).</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The PAM entry must be timestamped and associated with the learner's profile and the specific course enrolment. If a learner is enrolled in multiple courses, each course must have an independent PAM record.</w:t>
      </w:r>
    </w:p>
    <w:p>
      <w:r>
        <w:t xml:space="preserve"/>
      </w:r>
    </w:p>
    <w:p>
      <w:pPr>
        <w:pStyle w:val="Heading2"/>
        <w:spacing w:after="140" w:before="280"/>
      </w:pPr>
      <w:r>
        <w:rPr>
          <w:rFonts w:ascii="Arial" w:cs="Arial" w:eastAsia="Arial" w:hAnsi="Arial"/>
          <w:b/>
          <w:bCs/>
          <w:color w:val="1A5CA8"/>
          <w:sz w:val="28"/>
          <w:szCs w:val="28"/>
        </w:rPr>
        <w:t xml:space="preserve">2.2  PAM Storage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PAM text must be stored in a persistent, queryable data field — not in a log file or an unstructured archive. It must be retrievable by course ID, learner ID, and enrolment date at any time.</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PAM must be available as a variable that can be injected into exercise prompts, journal triggers, re-engagement messages, and the Block 4 certification project brief. The platform must support dynamic text insertion of the PAM value into any content element within the learner's course journey.</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PAM data must be exportable via API in structured format (JSON or equivalent) for use in personalisation engines, LLM-based feedback layers, and employer-facing analytics dashboards. The API must be documented and version-stable.</w:t>
      </w:r>
    </w:p>
    <w:p>
      <w:r>
        <w:t xml:space="preserve"/>
      </w:r>
    </w:p>
    <w:p>
      <w:pPr>
        <w:pStyle w:val="Heading2"/>
        <w:spacing w:after="140" w:before="280"/>
      </w:pPr>
      <w:r>
        <w:rPr>
          <w:rFonts w:ascii="Arial" w:cs="Arial" w:eastAsia="Arial" w:hAnsi="Arial"/>
          <w:b/>
          <w:bCs/>
          <w:color w:val="1A5CA8"/>
          <w:sz w:val="28"/>
          <w:szCs w:val="28"/>
        </w:rPr>
        <w:t xml:space="preserve">2.3  PAM Reuse — the most critical implementation requirement</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PAM must be systematically reused at every one of the following course touchpoints, without exception: (1) Interactive exercise prompts in Blocks 1, 2 and 3. (2) Reflective practice journal triggers in Block 2. (3) Day +7 re-engagement message. (4) Block 4 certification project brief. Failure to implement PAM reuse at any of these touchpoints constitutes a non-compliant implementation of Pillar 1.</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A platform that captures the PAM but displays it only on a learner profile page — and does not inject it dynamically into exercise prompts, journal triggers, re-engagement messages and the certification project brief — has NOT implemented Pillar 1. This is the most common implementation failure and the one with the greatest negative impact on completion rates.</w:t>
      </w:r>
    </w:p>
    <w:p>
      <w:r>
        <w:t xml:space="preserve"/>
      </w:r>
    </w:p>
    <w:p>
      <w:pPr>
        <w:spacing w:after="80" w:before="80"/>
      </w:pPr>
      <w:r>
        <w:rPr>
          <w:rFonts w:ascii="Arial" w:cs="Arial" w:eastAsia="Arial" w:hAnsi="Arial"/>
          <w:color w:val="222222"/>
          <w:sz w:val="22"/>
          <w:szCs w:val="22"/>
        </w:rPr>
        <w:t xml:space="preserve">The PAM reuse mechanism works as follows in practice:</w:t>
      </w:r>
    </w:p>
    <w:p>
      <w:pPr>
        <w:pStyle w:val="ListParagraph"/>
        <w:numPr>
          <w:ilvl w:val="0"/>
          <w:numId w:val="2"/>
        </w:numPr>
        <w:spacing w:after="60" w:before="60"/>
      </w:pPr>
      <w:r>
        <w:rPr>
          <w:rFonts w:ascii="Arial" w:cs="Arial" w:eastAsia="Arial" w:hAnsi="Arial"/>
          <w:sz w:val="22"/>
          <w:szCs w:val="22"/>
        </w:rPr>
        <w:t xml:space="preserve">In exercise prompts: 'Based on the situation you described at the start of this course — [PAM text] — how would you apply the method from this video?'</w:t>
      </w:r>
    </w:p>
    <w:p>
      <w:pPr>
        <w:pStyle w:val="ListParagraph"/>
        <w:numPr>
          <w:ilvl w:val="0"/>
          <w:numId w:val="2"/>
        </w:numPr>
        <w:spacing w:after="60" w:before="60"/>
      </w:pPr>
      <w:r>
        <w:rPr>
          <w:rFonts w:ascii="Arial" w:cs="Arial" w:eastAsia="Arial" w:hAnsi="Arial"/>
          <w:sz w:val="22"/>
          <w:szCs w:val="22"/>
        </w:rPr>
        <w:t xml:space="preserve">In journal triggers: 'You described [PAM text] as the challenge you wanted to address. What have you observed in the past 3 days that relates to this?'</w:t>
      </w:r>
    </w:p>
    <w:p>
      <w:pPr>
        <w:pStyle w:val="ListParagraph"/>
        <w:numPr>
          <w:ilvl w:val="0"/>
          <w:numId w:val="2"/>
        </w:numPr>
        <w:spacing w:after="60" w:before="60"/>
      </w:pPr>
      <w:r>
        <w:rPr>
          <w:rFonts w:ascii="Arial" w:cs="Arial" w:eastAsia="Arial" w:hAnsi="Arial"/>
          <w:sz w:val="22"/>
          <w:szCs w:val="22"/>
        </w:rPr>
        <w:t xml:space="preserve">In Day +7 re-engagement: 'You started this course to address [PAM text]. You are [X]% of the way there. Here is what you have learned so far.'</w:t>
      </w:r>
    </w:p>
    <w:p>
      <w:pPr>
        <w:pStyle w:val="ListParagraph"/>
        <w:numPr>
          <w:ilvl w:val="0"/>
          <w:numId w:val="2"/>
        </w:numPr>
        <w:spacing w:after="60" w:before="60"/>
      </w:pPr>
      <w:r>
        <w:rPr>
          <w:rFonts w:ascii="Arial" w:cs="Arial" w:eastAsia="Arial" w:hAnsi="Arial"/>
          <w:sz w:val="22"/>
          <w:szCs w:val="22"/>
        </w:rPr>
        <w:t xml:space="preserve">In Block 4 brief: 'Your certification deliverable must be anchored in the situation you described at Block 0: [PAM text].'</w:t>
      </w:r>
    </w:p>
    <w:p>
      <w:r>
        <w:br w:type="page"/>
      </w:r>
    </w:p>
    <w:p>
      <w:pPr>
        <w:shd w:fill="1A5CA8" w:val="clear"/>
        <w:spacing w:after="200" w:before="320"/>
      </w:pPr>
      <w:r>
        <w:rPr>
          <w:rFonts w:ascii="Arial" w:cs="Arial" w:eastAsia="Arial" w:hAnsi="Arial"/>
          <w:b/>
          <w:bCs/>
          <w:color w:val="FFFFFF"/>
          <w:sz w:val="30"/>
          <w:szCs w:val="30"/>
        </w:rPr>
        <w:t xml:space="preserve">  3. PILLAR 2 — POSITIONING DIAGNOSTIC: PLATFORM REQUIREMENTS  </w:t>
      </w:r>
    </w:p>
    <w:p>
      <w:r>
        <w:t xml:space="preserve"/>
      </w:r>
    </w:p>
    <w:p>
      <w:pPr>
        <w:pStyle w:val="Heading2"/>
        <w:spacing w:after="140" w:before="280"/>
      </w:pPr>
      <w:r>
        <w:rPr>
          <w:rFonts w:ascii="Arial" w:cs="Arial" w:eastAsia="Arial" w:hAnsi="Arial"/>
          <w:b/>
          <w:bCs/>
          <w:color w:val="1A5CA8"/>
          <w:sz w:val="28"/>
          <w:szCs w:val="28"/>
        </w:rPr>
        <w:t xml:space="preserve">3.1  Quiz Engine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support a four-option quiz engine (A/B/C/D) with the following capabilities: contextualised question display (full paragraph scenarios, not just short questions), configurable correct answer keys (the correct answer can be any of A/B/C/D for each question), and mandatory immediate feedback display after each question.</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Immediate feedback must display a specific explanation of why the correct answer is correct — not just a correct/incorrect signal. The feedback text is authored by Kompetences Declick and must be displayed in full before the learner can advance to the next question.</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platform must prevent learners from returning to and changing a quiz answer after it has been submitted. Answers are final when submitted.</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The quiz engine must record the full response profile: question ID, selected option, correct option, time-on-question (in seconds), and whether feedback was viewed. This data must be logged as xAPI statements at the individual question level.</w:t>
      </w:r>
    </w:p>
    <w:p>
      <w:r>
        <w:t xml:space="preserve"/>
      </w:r>
    </w:p>
    <w:p>
      <w:pPr>
        <w:pStyle w:val="Heading2"/>
        <w:spacing w:after="140" w:before="280"/>
      </w:pPr>
      <w:r>
        <w:rPr>
          <w:rFonts w:ascii="Arial" w:cs="Arial" w:eastAsia="Arial" w:hAnsi="Arial"/>
          <w:b/>
          <w:bCs/>
          <w:color w:val="1A5CA8"/>
          <w:sz w:val="28"/>
          <w:szCs w:val="28"/>
        </w:rPr>
        <w:t xml:space="preserve">3.2  Competency Entry Profile Output</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Upon completion of the positioning quiz, the platform must display a competency entry profile to the learner. This profile must name the learner's two weakest sub-areas based on quiz performance, and frame them as learning priorities — not as deficiencies. The profile must be visible immediately on quiz completion, without requiring the learner to navigate elsewhere.</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positioning quiz result must be used by the platform to weight content emphasis in subsequent blocks. Specifically: the two lowest-scoring sub-areas identified at Block 0 must be surfaced as priority prompts at the start of Block 2, reminding the learner which sub-areas need most attention. This requires the platform to store quiz sub-area scores and surface them at the Block 2 entry point.</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A quiz engine that scores and displays a total percentage without breaking down performance by sub-area, and without surfacing those sub-areas as priorities in Block 2, has not implemented Pillar 2. The positioning diagnostic exists to personalise the course journey — not to produce a number.</w:t>
      </w:r>
    </w:p>
    <w:p>
      <w:r>
        <w:br w:type="page"/>
      </w:r>
    </w:p>
    <w:p>
      <w:pPr>
        <w:shd w:fill="1A5CA8" w:val="clear"/>
        <w:spacing w:after="200" w:before="320"/>
      </w:pPr>
      <w:r>
        <w:rPr>
          <w:rFonts w:ascii="Arial" w:cs="Arial" w:eastAsia="Arial" w:hAnsi="Arial"/>
          <w:b/>
          <w:bCs/>
          <w:color w:val="FFFFFF"/>
          <w:sz w:val="30"/>
          <w:szCs w:val="30"/>
        </w:rPr>
        <w:t xml:space="preserve">  4. PILLAR 3 — MICRO-SESSION DELIVERY: PLATFORM REQUIREMENTS  </w:t>
      </w:r>
    </w:p>
    <w:p>
      <w:r>
        <w:t xml:space="preserve"/>
      </w:r>
    </w:p>
    <w:p>
      <w:pPr>
        <w:spacing w:after="80" w:before="80"/>
      </w:pPr>
      <w:r>
        <w:rPr>
          <w:rFonts w:ascii="Arial" w:cs="Arial" w:eastAsia="Arial" w:hAnsi="Arial"/>
          <w:color w:val="222222"/>
          <w:sz w:val="22"/>
          <w:szCs w:val="22"/>
        </w:rPr>
        <w:t xml:space="preserve">Pillar 3 contains the highest concentration of infrastructure requirements. The micro-session delivery standard is a direct response to the primary structural barrier to e-learning completion in Africa: the inability to guarantee uninterrupted study time. Every requirement below exists because of a specific failure mode that has been observed in African e-learning deployments at scale.</w:t>
      </w:r>
    </w:p>
    <w:p>
      <w:r>
        <w:t xml:space="preserve"/>
      </w:r>
    </w:p>
    <w:p>
      <w:pPr>
        <w:pStyle w:val="Heading2"/>
        <w:spacing w:after="140" w:before="280"/>
      </w:pPr>
      <w:r>
        <w:rPr>
          <w:rFonts w:ascii="Arial" w:cs="Arial" w:eastAsia="Arial" w:hAnsi="Arial"/>
          <w:b/>
          <w:bCs/>
          <w:color w:val="1A5CA8"/>
          <w:sz w:val="28"/>
          <w:szCs w:val="28"/>
        </w:rPr>
        <w:t xml:space="preserve">4.1  Session Architecture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Every micro-session must be fully autonomous. A learner who has not completed the previous session must be able to start the current session without loss of comprehension. The platform must not enforce a mandatory sequential completion order within a block. Block-level gating is required (Block 1 cannot start until Block 0 is complete); session-level ordering within a block is not.</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exact duration of every session must be displayed to the learner before they launch it — on the session card or thumbnail, not just in course metadata. This is not a cosmetic feature. It is a completion mechanism: learners who can see that a session takes 18 minutes will start it; learners who cannot see the duration will not start sessions they cannot guarantee finishing.</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A session summary ('3 key points from your last session') must be displayed at the entry point of every session after the first. This removes the cognitive cost of re-entry after a break — a documented cause of abandonment in African e-learning contexts.</w:t>
      </w:r>
    </w:p>
    <w:p>
      <w:r>
        <w:t xml:space="preserve"/>
      </w:r>
    </w:p>
    <w:p>
      <w:pPr>
        <w:pStyle w:val="Heading2"/>
        <w:spacing w:after="140" w:before="280"/>
      </w:pPr>
      <w:r>
        <w:rPr>
          <w:rFonts w:ascii="Arial" w:cs="Arial" w:eastAsia="Arial" w:hAnsi="Arial"/>
          <w:b/>
          <w:bCs/>
          <w:color w:val="1A5CA8"/>
          <w:sz w:val="28"/>
          <w:szCs w:val="28"/>
        </w:rPr>
        <w:t xml:space="preserve">4.2  Auto-Resume — the most operationally critical delivery requirement</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store the learner's exact position within every micro-session, including within video content (to the nearest 5 seconds). Any interruption — network drop, browser close, device change, session timeout — must result in automatic resumption from the exact point of interruption when the learner returns. Starting from the beginning of a session or a video after any interruption is not acceptable.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Auto-resume must function across device changes. A learner who starts a session on a smartphone and resumes on a desktop (or vice versa) must resume at the same position. This requires server-side session state storage — client-side or browser-local storage is not sufficient.</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A platform that resets learner position to the start of a session or video after any interruption — network drop, app close, browser timeout, or device switch — will directly cause learner abandonment. In African connectivity conditions, interruptions are not edge cases. They are the norm. Auto-resume is not a quality-of-life feature. It is a non-negotiable infrastructure requirement that determines whether the platform is usable in its target market.</w:t>
      </w:r>
    </w:p>
    <w:p>
      <w:r>
        <w:t xml:space="preserve"/>
      </w:r>
    </w:p>
    <w:p>
      <w:pPr>
        <w:pStyle w:val="Heading2"/>
        <w:spacing w:after="140" w:before="280"/>
      </w:pPr>
      <w:r>
        <w:rPr>
          <w:rFonts w:ascii="Arial" w:cs="Arial" w:eastAsia="Arial" w:hAnsi="Arial"/>
          <w:b/>
          <w:bCs/>
          <w:color w:val="1A5CA8"/>
          <w:sz w:val="28"/>
          <w:szCs w:val="28"/>
        </w:rPr>
        <w:t xml:space="preserve">4.3  Video Delivery</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All video content must be delivered via adaptive bitrate streaming, automatically adjusting quality based on available bandwidth. The platform must support video playback at bandwidths as low as 200 kbps without session failure. Buffering that exceeds 8 seconds at any quality level constitutes a platform failure in the African connectivity context.</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Subtitles must be available for every video, in the primary language of the course. Subtitle display must be toggleable by the learner and must default to on for first-time viewers. Subtitles are not an accessibility add-on — they are a content requirement in noisy or public environments where many African learners consume content.</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platform must support offline video download for consumption without connectivity. Downloaded sessions must be completable offline, with progress synced to the server when connectivity is restored. Sync must be automatic — requiring the learner to manually trigger a sync is not acceptable.</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Video playback controls must include speed adjustment (0.75x, 1x, 1.25x, 1.5x) accessible on mobile without requiring full-screen mode. Learners whose first language is not the course language frequently use playback speed adjustment.</w:t>
      </w:r>
    </w:p>
    <w:p>
      <w:r>
        <w:t xml:space="preserve"/>
      </w:r>
    </w:p>
    <w:p>
      <w:pPr>
        <w:pStyle w:val="Heading2"/>
        <w:spacing w:after="140" w:before="280"/>
      </w:pPr>
      <w:r>
        <w:rPr>
          <w:rFonts w:ascii="Arial" w:cs="Arial" w:eastAsia="Arial" w:hAnsi="Arial"/>
          <w:b/>
          <w:bCs/>
          <w:color w:val="1A5CA8"/>
          <w:sz w:val="28"/>
          <w:szCs w:val="28"/>
        </w:rPr>
        <w:t xml:space="preserve">4.4  Mobile Rendering</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be mobile-first. This means all course interactions — video playback, quiz responses, exercise completion, journal entries, PAM input, badge sharing — must be fully functional on a standard Android or iOS smartphone browser or native app without requiring a desktop for any step. 'Mobile-compatible' (responsive layout that works) is not sufficient. The platform must be designed for mobile as the primary use case, with desktop as secondary.</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function on low-specification Android devices (2GB RAM, Android 8.0 or above) that represent a significant proportion of the African professional learner device mix. Performance testing must include testing on such devices, not only on high-specification developer test devices.</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Touch targets on mobile must be a minimum of 44×44 pixels. Text fields must not be obscured by mobile keyboards. Video controls must be accessible without exiting full-screen mode. These are minimum usability standards, not design preferences.</w:t>
      </w:r>
    </w:p>
    <w:p>
      <w:r>
        <w:br w:type="page"/>
      </w:r>
    </w:p>
    <w:p>
      <w:pPr>
        <w:shd w:fill="1A5CA8" w:val="clear"/>
        <w:spacing w:after="200" w:before="320"/>
      </w:pPr>
      <w:r>
        <w:rPr>
          <w:rFonts w:ascii="Arial" w:cs="Arial" w:eastAsia="Arial" w:hAnsi="Arial"/>
          <w:b/>
          <w:bCs/>
          <w:color w:val="FFFFFF"/>
          <w:sz w:val="30"/>
          <w:szCs w:val="30"/>
        </w:rPr>
        <w:t xml:space="preserve">  5. PILLAR 4 — INTERACTIVE EXERCISES: PLATFORM REQUIREMENTS  </w:t>
      </w:r>
    </w:p>
    <w:p>
      <w:r>
        <w:t xml:space="preserve"/>
      </w:r>
    </w:p>
    <w:p>
      <w:pPr>
        <w:pStyle w:val="Heading2"/>
        <w:spacing w:after="140" w:before="280"/>
      </w:pPr>
      <w:r>
        <w:rPr>
          <w:rFonts w:ascii="Arial" w:cs="Arial" w:eastAsia="Arial" w:hAnsi="Arial"/>
          <w:b/>
          <w:bCs/>
          <w:color w:val="1A5CA8"/>
          <w:sz w:val="28"/>
          <w:szCs w:val="28"/>
        </w:rPr>
        <w:t xml:space="preserve">5.1  Exercise Architecture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Every video in the course must be paired with an interactive exercise. The exercise must be presented immediately after video completion — not as an optional extension, not accessible from a separate menu. The transition from video to exercise must be automatic or require a single tap/click. A learner must not be able to advance to the next micro-session without completing the exercise.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Immediate feedback must be provided after every exercise response. The feedback must be specific and explanatory — it must tell the learner why their response was correct or incorrect, not just indicate the result. Feedback text is authored by Kompetences Declick and must be displayed in full, not truncated, before the learner can advance.</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platform must support at minimum the following exercise types: (a) multi-option situational decision-making, (b) short written production with a text field of minimum 300 characters, (c) guided diagnostic with a structured form. The platform must support African-context scenario text that may include paragraphs of 150+ words as question preamble.</w:t>
      </w:r>
    </w:p>
    <w:p>
      <w:r>
        <w:t xml:space="preserve"/>
      </w:r>
    </w:p>
    <w:p>
      <w:pPr>
        <w:pStyle w:val="Heading2"/>
        <w:spacing w:after="140" w:before="280"/>
      </w:pPr>
      <w:r>
        <w:rPr>
          <w:rFonts w:ascii="Arial" w:cs="Arial" w:eastAsia="Arial" w:hAnsi="Arial"/>
          <w:b/>
          <w:bCs/>
          <w:color w:val="1A5CA8"/>
          <w:sz w:val="28"/>
          <w:szCs w:val="28"/>
        </w:rPr>
        <w:t xml:space="preserve">5.2  Exercise Data Logging</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Every exercise interaction must be logged as an xAPI statement. Minimum required fields: learner ID, course ID, block ID, session ID, exercise ID, response value, correct value, timestamp, time-on-exercise (seconds), feedback viewed (boolean). This data must be queryable at learner level and cohort level.</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Exercise completion must be a prerequisite condition for block badge issuance. The platform must enforce this gate — a learner who has watched all videos in a block but has not completed all exercises must not receive the block badge.</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Exercise response data must be accessible via API for integration with LLM-based feedback personalisation layers. Kompetences Declick may use external AI services to generate contextualised feedback based on learner responses. The platform must support a webhook or API call at exercise submission that can pass the learner response, PAM text, and exercise context to an external endpoint.</w:t>
      </w:r>
    </w:p>
    <w:p>
      <w:r>
        <w:br w:type="page"/>
      </w:r>
    </w:p>
    <w:p>
      <w:pPr>
        <w:shd w:fill="1A5CA8" w:val="clear"/>
        <w:spacing w:after="200" w:before="320"/>
      </w:pPr>
      <w:r>
        <w:rPr>
          <w:rFonts w:ascii="Arial" w:cs="Arial" w:eastAsia="Arial" w:hAnsi="Arial"/>
          <w:b/>
          <w:bCs/>
          <w:color w:val="FFFFFF"/>
          <w:sz w:val="30"/>
          <w:szCs w:val="30"/>
        </w:rPr>
        <w:t xml:space="preserve">  6. PILLAR 5 — REAL-WORLD APPLICATION: PLATFORM REQUIREMENTS  </w:t>
      </w:r>
    </w:p>
    <w:p>
      <w:r>
        <w:t xml:space="preserve"/>
      </w:r>
    </w:p>
    <w:p>
      <w:pPr>
        <w:pStyle w:val="Heading2"/>
        <w:spacing w:after="140" w:before="280"/>
      </w:pPr>
      <w:r>
        <w:rPr>
          <w:rFonts w:ascii="Arial" w:cs="Arial" w:eastAsia="Arial" w:hAnsi="Arial"/>
          <w:b/>
          <w:bCs/>
          <w:color w:val="1A5CA8"/>
          <w:sz w:val="28"/>
          <w:szCs w:val="28"/>
        </w:rPr>
        <w:t xml:space="preserve">6.1  Reflective Practice Journal</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support an automated journal trigger system. Journal entries must be pushed to the learner (push notification and/or in-app prompt) at defined intervals from block start: Day +1, Day +3, Day +5, Day +7, Day +10, and Day +14. The trigger schedule must be configurable per block and per course level. Triggers must fire independently of whether the learner is actively using the platform at that moment.</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Journal entry prompts must be dynamically generated using the learner's PAM text. The prompt must not be generic ('reflect on what you have learned') — it must reference the learner's specific stated situation. This requires PAM injection into journal prompt templates, as specified in Section 2.3.</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Journal entries must be stored as learner-generated content linked to the learner's profile, block ID, and timestamp. They must be accessible via API for authorised employer or institutional review. Access must be role-gated — learner, course administrator, and employer views must have different permissions.</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Journal completion rate must be tracked as a platform metric and surfaced in the administrator analytics dashboard as a block-level indicator. Kompetences Declick uses journal completion rate as a leading indicator of Block 3 completion probability — this metric must be visible without requiring a custom data export.</w:t>
      </w:r>
    </w:p>
    <w:p>
      <w:r>
        <w:t xml:space="preserve"/>
      </w:r>
    </w:p>
    <w:p>
      <w:pPr>
        <w:pStyle w:val="Heading2"/>
        <w:spacing w:after="140" w:before="280"/>
      </w:pPr>
      <w:r>
        <w:rPr>
          <w:rFonts w:ascii="Arial" w:cs="Arial" w:eastAsia="Arial" w:hAnsi="Arial"/>
          <w:b/>
          <w:bCs/>
          <w:color w:val="1A5CA8"/>
          <w:sz w:val="28"/>
          <w:szCs w:val="28"/>
        </w:rPr>
        <w:t xml:space="preserve">6.2  Field Application Deliverable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provide a structured submission interface for the Block 2 field application deliverable. The submission must be gated — the Practice Badge cannot be issued and Block 3 cannot unlock until the field application has been submitted. Submission without minimum content (configurable character minimum, default 200 characters) must not be accepted.</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field application submission interface must include the learner's PAM text as a visible reference prompt. The learner must be able to see their own PAM while writing their field application. This is the primary PAM reuse touchpoint in Block 2.</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Field application submissions must be stored as structured text records and accessible via API for LLM-based automated feedback integration. The submission record must include learner ID, course ID, block ID, submission timestamp, PAM text, and submission content.</w:t>
      </w:r>
    </w:p>
    <w:p>
      <w:r>
        <w:t xml:space="preserve"/>
      </w:r>
    </w:p>
    <w:p>
      <w:pPr>
        <w:pStyle w:val="Heading2"/>
        <w:spacing w:after="140" w:before="280"/>
      </w:pPr>
      <w:r>
        <w:rPr>
          <w:rFonts w:ascii="Arial" w:cs="Arial" w:eastAsia="Arial" w:hAnsi="Arial"/>
          <w:b/>
          <w:bCs/>
          <w:color w:val="1A5CA8"/>
          <w:sz w:val="28"/>
          <w:szCs w:val="28"/>
        </w:rPr>
        <w:t xml:space="preserve">6.3  Block 4 Certification Project Management</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Block 4 must be locked until the learner has passed the Block 3 graded quiz at or above the level-specific threshold: 70% (Level 1), 75% (Level 2), 80% (Level 3). The platform must enforce this gate automatically — manual unlock by an administrator must not be possible except through a documented override procedure with audit trail.</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provide a project submission workflow for Block 4 that includes: project brief display (including the learner's PAM text as context), file or rich-text submission interface, submission confirmation, evaluator assignment, rubric-based scoring interface for the evaluator, structured written feedback field, and result notification to the learner. All of these must be available within the platform — email-only workflows are not acceptable.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enforce the 7 business-day feedback turnaround commitment. An automated alert must be sent to the course administrator if a submitted project has not received evaluator feedback within 5 business days. This is a learner-facing service level commitment — failure to enforce it damages certification credibility.</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rubric scoring interface must present 4 to 5 criteria individually, each with a configurable weight. The evaluator must score each criterion separately. The platform must calculate the weighted total automatically. The scoring rubric must be visible to the learner before they submit — not only after.</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Project submission records must be stored with full metadata: learner ID, course ID, level, submission timestamp, evaluator ID, individual criterion scores, weighted total, feedback text, pass/fail result, and revision status. All of this must be accessible via API for employer verification and institutional reporting.</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A Block 4 workflow that relies on email exchange between learner and evaluator, or that stores project submissions outside the platform, is not compliant with the KD-HCBLM v2.0 standard. The full project lifecycle — submission, assignment, evaluation, feedback, result — must be managed within the platform infrastructure.</w:t>
      </w:r>
    </w:p>
    <w:p>
      <w:r>
        <w:br w:type="page"/>
      </w:r>
    </w:p>
    <w:p>
      <w:pPr>
        <w:shd w:fill="1A5CA8" w:val="clear"/>
        <w:spacing w:after="200" w:before="320"/>
      </w:pPr>
      <w:r>
        <w:rPr>
          <w:rFonts w:ascii="Arial" w:cs="Arial" w:eastAsia="Arial" w:hAnsi="Arial"/>
          <w:b/>
          <w:bCs/>
          <w:color w:val="FFFFFF"/>
          <w:sz w:val="30"/>
          <w:szCs w:val="30"/>
        </w:rPr>
        <w:t xml:space="preserve">  7. PILLAR 6 — BEHAVIOURAL ENGAGEMENT &amp; COMPLETION ARCHITECTURE: PLATFORM REQUIREMENTS  </w:t>
      </w:r>
    </w:p>
    <w:p>
      <w:r>
        <w:t xml:space="preserve"/>
      </w:r>
    </w:p>
    <w:p>
      <w:pPr>
        <w:spacing w:after="80" w:before="80"/>
      </w:pPr>
      <w:r>
        <w:rPr>
          <w:rFonts w:ascii="Arial" w:cs="Arial" w:eastAsia="Arial" w:hAnsi="Arial"/>
          <w:color w:val="222222"/>
          <w:sz w:val="22"/>
          <w:szCs w:val="22"/>
        </w:rPr>
        <w:t xml:space="preserve">Pillar 6 is the completion system. It addresses the central challenge of African e-learning at scale: the gap between enrolment and completion. African e-learning programmes historically face completion rates below 20%. KD-HCBLM v2.0 treats this as a design problem, not a learner motivation problem. Every mechanism below is a structural response to a documented failure mode. None of them are cosmetic features.</w:t>
      </w:r>
    </w:p>
    <w:p>
      <w:r>
        <w:t xml:space="preserve"/>
      </w:r>
    </w:p>
    <w:p>
      <w:pPr>
        <w:pStyle w:val="Heading2"/>
        <w:spacing w:after="140" w:before="280"/>
      </w:pPr>
      <w:r>
        <w:rPr>
          <w:rFonts w:ascii="Arial" w:cs="Arial" w:eastAsia="Arial" w:hAnsi="Arial"/>
          <w:b/>
          <w:bCs/>
          <w:color w:val="1A5CA8"/>
          <w:sz w:val="28"/>
          <w:szCs w:val="28"/>
        </w:rPr>
        <w:t xml:space="preserve">7.1  Persistent Progress Visibility</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A completion progress bar must be visible at all times — on the course dashboard, within each session, and on the block overview page. The progress bar must display both percentage complete and estimated remaining time. These two metrics address different learner motivations: achievement orientation (percentage) and time-budget management (remaining time). Both must be present.</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A dynamic competency score must update in real time as the learner completes exercises and quizzes. This score must be visible on the course dashboard without requiring the learner to navigate to a separate analytics page. The score must reflect exercise performance, not only quiz performance.</w:t>
      </w:r>
    </w:p>
    <w:p>
      <w:r>
        <w:t xml:space="preserve"/>
      </w:r>
    </w:p>
    <w:p>
      <w:pPr>
        <w:pStyle w:val="Heading2"/>
        <w:spacing w:after="140" w:before="280"/>
      </w:pPr>
      <w:r>
        <w:rPr>
          <w:rFonts w:ascii="Arial" w:cs="Arial" w:eastAsia="Arial" w:hAnsi="Arial"/>
          <w:b/>
          <w:bCs/>
          <w:color w:val="1A5CA8"/>
          <w:sz w:val="28"/>
          <w:szCs w:val="28"/>
        </w:rPr>
        <w:t xml:space="preserve">7.2  Frictionless Resumption</w:t>
      </w:r>
    </w:p>
    <w:p>
      <w:pPr>
        <w:spacing w:after="80" w:before="80"/>
      </w:pPr>
      <w:r>
        <w:rPr>
          <w:rFonts w:ascii="Arial" w:cs="Arial" w:eastAsia="Arial" w:hAnsi="Arial"/>
          <w:color w:val="222222"/>
          <w:sz w:val="22"/>
          <w:szCs w:val="22"/>
        </w:rPr>
        <w:t xml:space="preserve">See Section 4.2 for the full auto-resume requirement. The following additional requirements apply to the resumption experience: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When a learner returns to a course after an interruption, the platform must present a single-tap/click resumption button that takes them directly to their last position — not to the course homepage or block overview. The cognitive cost of navigating back to the right place is a documented cause of abandonment.</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The resumption prompt must display a brief summary of the learner's last completed session ('You last completed: [Session name] in Block [X]'). This eliminates the need for the learner to remember where they were.</w:t>
      </w:r>
    </w:p>
    <w:p>
      <w:r>
        <w:t xml:space="preserve"/>
      </w:r>
    </w:p>
    <w:p>
      <w:pPr>
        <w:pStyle w:val="Heading2"/>
        <w:spacing w:after="140" w:before="280"/>
      </w:pPr>
      <w:r>
        <w:rPr>
          <w:rFonts w:ascii="Arial" w:cs="Arial" w:eastAsia="Arial" w:hAnsi="Arial"/>
          <w:b/>
          <w:bCs/>
          <w:color w:val="1A5CA8"/>
          <w:sz w:val="28"/>
          <w:szCs w:val="28"/>
        </w:rPr>
        <w:t xml:space="preserve">7.3  Progress Peer Mechanism</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At Block 0, the platform must prompt the learner to nominate a Progress Peer — a colleague, mentor or peer from their professional network — by entering the peer's name and email address or phone number. This nomination step must be mandatory for Entry Badge issuance. A learner who has not designated a Progress Peer must not receive the Entry Badge.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send an automatic notification to the Progress Peer at the end of each block completion. The notification must include the learner's name, the course name, and the block completed. It must not require any action from the Progress Peer — it is an information notification only, not a collaboration request. The notification must be sent within 2 hours of block completion.</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Progress Peer notifications must be deliverable by both email and SMS/WhatsApp. Given African connectivity patterns, email-only notification delivery will fail to reach a significant proportion of Progress Peers. The platform must support at minimum one mobile messaging channel (SMS or WhatsApp) for peer notifications.</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A Progress Peer mechanism implemented as an optional 'share your progress' button — which the learner chooses whether to use — is not compliant. The Progress Peer designation must be mandatory at Block 0, and the notifications must be automated and sent by the platform without any learner action. The social accountability device only works if the learner cannot choose whether their peer is notified.</w:t>
      </w:r>
    </w:p>
    <w:p>
      <w:r>
        <w:t xml:space="preserve"/>
      </w:r>
    </w:p>
    <w:p>
      <w:pPr>
        <w:pStyle w:val="Heading2"/>
        <w:spacing w:after="140" w:before="280"/>
      </w:pPr>
      <w:r>
        <w:rPr>
          <w:rFonts w:ascii="Arial" w:cs="Arial" w:eastAsia="Arial" w:hAnsi="Arial"/>
          <w:b/>
          <w:bCs/>
          <w:color w:val="1A5CA8"/>
          <w:sz w:val="28"/>
          <w:szCs w:val="28"/>
        </w:rPr>
        <w:t xml:space="preserve">7.4  Automated Re-engagement Sequences</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implement three automated re-engagement message types, triggered independently per learner when they have not resumed activity after an interruption. The trigger conditions, timing and message content are specified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1440"/>
        <w:gridCol w:w="2880"/>
        <w:gridCol w:w="1800"/>
      </w:tblGrid>
      <w:tr>
        <w:tc>
          <w:tcPr>
            <w:tcW w:type="dxa" w:w="108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16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44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288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Required content</w:t>
            </w:r>
          </w:p>
        </w:tc>
        <w:tc>
          <w:tcPr>
            <w:tcW w:type="dxa" w:w="180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Delivery channel</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Day +3</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No session activity for 3 consecutive days after last engagement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Positional reminder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Current position in course (block + session), estimated remaining time to next badge, direct deep link to last position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Email + push notification</w:t>
            </w:r>
          </w:p>
        </w:tc>
      </w:tr>
      <w:tr>
        <w:tc>
          <w:tcPr>
            <w:tcW w:type="dxa" w:w="1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Day +7</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No session activity for 7 consecutive days</w:t>
            </w:r>
          </w:p>
        </w:tc>
        <w:tc>
          <w:tcPr>
            <w:tcW w:type="dxa" w:w="14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PAM reconnection</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Learner's PAM text quoted in full, connection to content not yet completed, estimated remaining time to certification</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Email + SMS/WhatsApp</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Day +14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No session activity for 14 consecutive days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Human escalation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Flag to course administrator or HR manager (enterprise deployments) identifying the learner and their interruption duration — for human follow-up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Administrator dashboard alert + email to administrator</w:t>
            </w:r>
          </w:p>
        </w:tc>
      </w:tr>
    </w:tbl>
    <w:p>
      <w:r>
        <w:t xml:space="preserve"/>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Day +7 message must inject the learner's PAM text dynamically. It is the most important re-engagement mechanism in the sequence because it reconnects the learner to their personal reason for starting the course. A Day +7 message that does not include the PAM text is not compliant.</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All three re-engagement messages must be sent independently of any other platform notification. They must not be bundled with weekly digests or generic platform updates. Timing precision matters: a Day +3 message sent on Day +5 has significantly lower re-engagement efficacy.</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Re-engagement message delivery must be logged: sent timestamp, delivery status, and whether the message resulted in a session resumption within 24 hours. This data must be available in the administrator analytics dashboard to allow Kompetences Declick to measure re-engagement efficacy and adjust sequences.</w:t>
      </w:r>
    </w:p>
    <w:p>
      <w:r>
        <w:t xml:space="preserve"/>
      </w:r>
    </w:p>
    <w:p>
      <w:pPr>
        <w:pStyle w:val="Heading2"/>
        <w:spacing w:after="140" w:before="280"/>
      </w:pPr>
      <w:r>
        <w:rPr>
          <w:rFonts w:ascii="Arial" w:cs="Arial" w:eastAsia="Arial" w:hAnsi="Arial"/>
          <w:b/>
          <w:bCs/>
          <w:color w:val="1A5CA8"/>
          <w:sz w:val="28"/>
          <w:szCs w:val="28"/>
        </w:rPr>
        <w:t xml:space="preserve">7.5  PAM Thread Continuity</w:t>
      </w:r>
    </w:p>
    <w:p>
      <w:pPr>
        <w:spacing w:after="80" w:before="80"/>
      </w:pPr>
      <w:r>
        <w:rPr>
          <w:rFonts w:ascii="Arial" w:cs="Arial" w:eastAsia="Arial" w:hAnsi="Arial"/>
          <w:color w:val="222222"/>
          <w:sz w:val="22"/>
          <w:szCs w:val="22"/>
        </w:rPr>
        <w:t xml:space="preserve">See Section 2.3 for the full PAM reuse requirement. The following clarification applies specifically to Pillar 6 implementation:</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PAM thread continuity is not a content feature — it is a platform infrastructure requirement. The platform must expose the PAM value as a dynamic variable insertable into every content element type: exercise prompts, journal triggers, re-engagement messages, and the Block 4 project brief. This requires the platform to maintain PAM as a persistent, accessible session variable across the full course lifecycle, not only at Block 0.</w:t>
      </w:r>
    </w:p>
    <w:p>
      <w:r>
        <w:t xml:space="preserve"/>
      </w:r>
    </w:p>
    <w:p>
      <w:pPr>
        <w:pStyle w:val="Heading2"/>
        <w:spacing w:after="140" w:before="280"/>
      </w:pPr>
      <w:r>
        <w:rPr>
          <w:rFonts w:ascii="Arial" w:cs="Arial" w:eastAsia="Arial" w:hAnsi="Arial"/>
          <w:b/>
          <w:bCs/>
          <w:color w:val="1A5CA8"/>
          <w:sz w:val="28"/>
          <w:szCs w:val="28"/>
        </w:rPr>
        <w:t xml:space="preserve">7.6  Progressive Badge Infrastructure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issue a distinct digital badge at the completion of each block: Entry Badge (Block 0), Comprehension Badge (Block 1), Practice Badge (Block 2), Anchoring Badge (Block 3), and Level Certificate (Block 4). Badge issuance must be immediate — within 60 seconds of the completion conditions being met. Delayed badge issuance (batch processing) is not acceptable.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All badges and the Level Certificate must follow the Open Badges 2.0 standard and be directly importable to LinkedIn via the LinkedIn Certification import flow. The platform must provide the learner with a one-tap/click LinkedIn share option immediately upon badge issuance.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Block badge issuance must be conditional on completion of all required elements for that block. Completion conditions per block are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6480"/>
      </w:tblGrid>
      <w:tr>
        <w:tc>
          <w:tcPr>
            <w:tcW w:type="dxa" w:w="108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180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648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Mandatory completion conditions — ALL must be met</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 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Entry Badge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PAM submitted (minimum 50 characters) + positioning quiz completed + Progress Peer designated (name + contact)</w:t>
            </w:r>
          </w:p>
        </w:tc>
      </w:tr>
      <w:tr>
        <w:tc>
          <w:tcPr>
            <w:tcW w:type="dxa" w:w="1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 1</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Comprehension Badge</w:t>
            </w:r>
          </w:p>
        </w:tc>
        <w:tc>
          <w:tcPr>
            <w:tcW w:type="dxa" w:w="6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All micro-sessions viewed to completion + all exercises completed + diagnostic quiz submitted (score recorded)</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 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Practice Badge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All scenario sessions completed + all exercises completed + field application submitted (minimum character count) + minimum 3 journal entries recorded</w:t>
            </w:r>
          </w:p>
        </w:tc>
      </w:tr>
      <w:tr>
        <w:tc>
          <w:tcPr>
            <w:tcW w:type="dxa" w:w="10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 3</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Anchoring Badge</w:t>
            </w:r>
          </w:p>
        </w:tc>
        <w:tc>
          <w:tcPr>
            <w:tcW w:type="dxa" w:w="64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All consolidation sessions completed + graded quiz passed at or above level threshold (70% / 75% / 80%) + personal action plan submitted</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 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Level Certificate</w:t>
            </w:r>
          </w:p>
        </w:tc>
        <w:tc>
          <w:tcPr>
            <w:tcW w:type="dxa" w:w="6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Certification project submitted + evaluator or jury pass confirmed at or above rubric threshold</w:t>
            </w:r>
          </w:p>
        </w:tc>
      </w:tr>
    </w:tbl>
    <w:p>
      <w:r>
        <w:t xml:space="preserve"/>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platform must support employer and institutional verification of badge and certificate status via a public verification URL or API endpoint. An employer must be able to verify that a certificate displayed on a learner's LinkedIn profile is genuine, current and issued by Kompetences Declick — without requiring platform access or learner action.</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A badge system that issues badges based solely on time spent or video views — without enforcing the exercise completion, quiz pass, journal entry, field application and project submission gates — is not compliant with the KD-HCBLM v2.0 standard. The certification value of Kompetences Declick badges depends entirely on the integrity of the completion conditions. Compromising these gates compromises the product.</w:t>
      </w:r>
    </w:p>
    <w:p>
      <w:r>
        <w:br w:type="page"/>
      </w:r>
    </w:p>
    <w:p>
      <w:pPr>
        <w:shd w:fill="1C2B3A" w:val="clear"/>
        <w:spacing w:after="200" w:before="320"/>
      </w:pPr>
      <w:r>
        <w:rPr>
          <w:rFonts w:ascii="Arial" w:cs="Arial" w:eastAsia="Arial" w:hAnsi="Arial"/>
          <w:b/>
          <w:bCs/>
          <w:color w:val="FFFFFF"/>
          <w:sz w:val="30"/>
          <w:szCs w:val="30"/>
        </w:rPr>
        <w:t xml:space="preserve">  8. DATA, ANALYTICS &amp; API REQUIREMENTS  </w:t>
      </w:r>
    </w:p>
    <w:p>
      <w:r>
        <w:t xml:space="preserve"/>
      </w:r>
    </w:p>
    <w:p>
      <w:pPr>
        <w:spacing w:after="80" w:before="80"/>
      </w:pPr>
      <w:r>
        <w:rPr>
          <w:rFonts w:ascii="Arial" w:cs="Arial" w:eastAsia="Arial" w:hAnsi="Arial"/>
          <w:color w:val="222222"/>
          <w:sz w:val="22"/>
          <w:szCs w:val="22"/>
        </w:rPr>
        <w:t xml:space="preserve">Kompetences Declick's ability to serve enterprise clients, institutional partners and investors depends on the quality and accessibility of learner and cohort data produced by the platform. The following requirements apply to all data capture, storage, and exposure capabilities.</w:t>
      </w:r>
    </w:p>
    <w:p>
      <w:r>
        <w:t xml:space="preserve"/>
      </w:r>
    </w:p>
    <w:p>
      <w:pPr>
        <w:pStyle w:val="Heading2"/>
        <w:spacing w:after="140" w:before="280"/>
      </w:pPr>
      <w:r>
        <w:rPr>
          <w:rFonts w:ascii="Arial" w:cs="Arial" w:eastAsia="Arial" w:hAnsi="Arial"/>
          <w:b/>
          <w:bCs/>
          <w:color w:val="1A5CA8"/>
          <w:sz w:val="28"/>
          <w:szCs w:val="28"/>
        </w:rPr>
        <w:t xml:space="preserve">8.1  xAPI / cmi5 Compliance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log all learner interactions as xAPI statements conforming to the xAPI 1.0.3 specification or above. Minimum required statement types: video progress (percentage viewed, position in seconds), quiz response (question ID, selected option, correct option, time-on-question), exercise completion (response value, time-on-exercise), badge issuance (badge type, timestamp), block completion, journal entry submission, field application submission, re-engagement message sent and response.</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xAPI statements must be available for export via a standard Learning Record Store (LRS) API. Kompetences Declick must be able to query the LRS by learner ID, course ID, date range, and statement type. The LRS must be accessible to Kompetences Declick's analytics infrastructure without requiring manual export.</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SCORM 2004 package export must be available for courses, to support partner LMS integrations where xAPI is not natively supported.</w:t>
      </w:r>
    </w:p>
    <w:p>
      <w:r>
        <w:t xml:space="preserve"/>
      </w:r>
    </w:p>
    <w:p>
      <w:pPr>
        <w:pStyle w:val="Heading2"/>
        <w:spacing w:after="140" w:before="280"/>
      </w:pPr>
      <w:r>
        <w:rPr>
          <w:rFonts w:ascii="Arial" w:cs="Arial" w:eastAsia="Arial" w:hAnsi="Arial"/>
          <w:b/>
          <w:bCs/>
          <w:color w:val="1A5CA8"/>
          <w:sz w:val="28"/>
          <w:szCs w:val="28"/>
        </w:rPr>
        <w:t xml:space="preserve">8.2  Administrator Analytics Dashboard</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provide a real-time administrator analytics dashboard that displays, at minimum, the following metrics at both individual learner and cohort level: enrolment date, block completion status (per block), current position in course, quiz scores (positioning diagnostic + all block quizzes), exercise completion rate, journal entry count, field application submission status, re-engagement message history, badge issuance history, and certification project status.</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dashboard must support filtering by cohort (e.g. all learners from a given enterprise client), by course level, and by date range. Enterprise clients must have access to a read-only view of their own learner cohort data. This is a commercial requirement — enterprise clients pay for reporting visibility as part of their contract.</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Completion rate forecasting — an estimate of the percentage of enrolled learners expected to reach Block 4 completion based on current progression rates — must be available in the dashboard. This metric is required for investor reporting and enterprise client performance reviews.</w:t>
      </w:r>
    </w:p>
    <w:p>
      <w:r>
        <w:t xml:space="preserve"/>
      </w:r>
    </w:p>
    <w:p>
      <w:pPr>
        <w:pStyle w:val="Heading2"/>
        <w:spacing w:after="140" w:before="280"/>
      </w:pPr>
      <w:r>
        <w:rPr>
          <w:rFonts w:ascii="Arial" w:cs="Arial" w:eastAsia="Arial" w:hAnsi="Arial"/>
          <w:b/>
          <w:bCs/>
          <w:color w:val="1A5CA8"/>
          <w:sz w:val="28"/>
          <w:szCs w:val="28"/>
        </w:rPr>
        <w:t xml:space="preserve">8.3  API Access</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expose a documented, version-stable REST API that provides programmatic access to: learner enrolment and profile data, course completion and badge status, xAPI statement data, Block 4 project submission records, and certificate verification status. The API must support OAuth 2.0 authentication.</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API must support webhook callbacks for the following events: badge issuance, block completion, Block 4 project submission, Day +14 re-engagement trigger, and certificate issuance. Webhooks are required for Kompetences Declick to integrate with employer HR systems, LinkedIn certification import, and investor reporting infrastructure.</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API rate limits must be documented and must not constrain normal operational use (dashboard refreshes, automated reporting, re-engagement trigger processing). Rate limit documentation must include limits per endpoint and per authenticated client.</w:t>
      </w:r>
    </w:p>
    <w:p>
      <w:r>
        <w:br w:type="page"/>
      </w:r>
    </w:p>
    <w:p>
      <w:pPr>
        <w:shd w:fill="1C2B3A" w:val="clear"/>
        <w:spacing w:after="200" w:before="320"/>
      </w:pPr>
      <w:r>
        <w:rPr>
          <w:rFonts w:ascii="Arial" w:cs="Arial" w:eastAsia="Arial" w:hAnsi="Arial"/>
          <w:b/>
          <w:bCs/>
          <w:color w:val="FFFFFF"/>
          <w:sz w:val="30"/>
          <w:szCs w:val="30"/>
        </w:rPr>
        <w:t xml:space="preserve">  9. MOBILE &amp; CONNECTIVITY: PLATFORM REQUIREMENTS  </w:t>
      </w:r>
    </w:p>
    <w:p>
      <w:r>
        <w:t xml:space="preserve"/>
      </w:r>
    </w:p>
    <w:p>
      <w:pPr>
        <w:spacing w:after="80" w:before="80"/>
      </w:pPr>
      <w:r>
        <w:rPr>
          <w:rFonts w:ascii="Arial" w:cs="Arial" w:eastAsia="Arial" w:hAnsi="Arial"/>
          <w:color w:val="222222"/>
          <w:sz w:val="22"/>
          <w:szCs w:val="22"/>
        </w:rPr>
        <w:t xml:space="preserve">The African professional learner profile is mobile-primary. Across sub-Saharan Africa, the smartphone is the primary internet access device. The platform must be designed for this reality — not adapted to it as an afterthought. The following requirements define the minimum acceptable mobile and connectivity performance standard.</w:t>
      </w:r>
    </w:p>
    <w:p>
      <w:r>
        <w:t xml:space="preserve"/>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be fully functional on mobile browsers (Chrome and Firefox for Android, Safari for iOS) without requiring a native app download for core course functionality. A native app may be offered in addition — but mobile browser support must be complete and must not deliver a degraded experience relative to desktop.</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The platform must support offline mode: learners must be able to download a complete micro-session (video + exercise) for offline consumption. Downloaded content must play without internet connectivity. Progress completed offline must sync automatically to the server when connectivity is restored — without requiring learner action.</w:t>
      </w:r>
    </w:p>
    <w:p>
      <w:pPr>
        <w:shd w:fill="FDEDEC" w:val="clear"/>
        <w:spacing w:after="0" w:before="120"/>
      </w:pPr>
      <w:r>
        <w:rPr>
          <w:rFonts w:ascii="Arial" w:cs="Arial" w:eastAsia="Arial" w:hAnsi="Arial"/>
          <w:b/>
          <w:bCs/>
          <w:color w:val="C0392B"/>
          <w:sz w:val="20"/>
          <w:szCs w:val="20"/>
        </w:rPr>
        <w:t xml:space="preserve">  ⛔  NON-NEGOTIABLE</w:t>
      </w:r>
    </w:p>
    <w:p>
      <w:pPr>
        <w:shd w:fill="FDEDEC" w:val="clear"/>
        <w:spacing w:after="120" w:before="0"/>
      </w:pPr>
      <w:r>
        <w:rPr>
          <w:rFonts w:ascii="Arial" w:cs="Arial" w:eastAsia="Arial" w:hAnsi="Arial"/>
          <w:color w:val="222222"/>
          <w:sz w:val="21"/>
          <w:szCs w:val="21"/>
        </w:rPr>
        <w:t xml:space="preserve">  Adaptive bitrate video streaming must automatically select the appropriate quality level for the learner's current bandwidth, without learner intervention. The platform must define and test behaviour at 200 kbps, 500 kbps, 1 Mbps, and 5 Mbps — and document the expected video quality at each bandwidth level.</w:t>
      </w:r>
    </w:p>
    <w:p>
      <w:pPr>
        <w:shd w:fill="FEF9E7" w:val="clear"/>
        <w:spacing w:after="0" w:before="120"/>
      </w:pPr>
      <w:r>
        <w:rPr>
          <w:rFonts w:ascii="Arial" w:cs="Arial" w:eastAsia="Arial" w:hAnsi="Arial"/>
          <w:b/>
          <w:bCs/>
          <w:color w:val="D4870A"/>
          <w:sz w:val="20"/>
          <w:szCs w:val="20"/>
        </w:rPr>
        <w:t xml:space="preserve">  ⚠️  CRITICAL</w:t>
      </w:r>
    </w:p>
    <w:p>
      <w:pPr>
        <w:shd w:fill="FEF9E7" w:val="clear"/>
        <w:spacing w:after="120" w:before="0"/>
      </w:pPr>
      <w:r>
        <w:rPr>
          <w:rFonts w:ascii="Arial" w:cs="Arial" w:eastAsia="Arial" w:hAnsi="Arial"/>
          <w:color w:val="222222"/>
          <w:sz w:val="21"/>
          <w:szCs w:val="21"/>
        </w:rPr>
        <w:t xml:space="preserve">  The platform must be tested and certified to function on low-specification Android devices (2GB RAM, Android 8.0 minimum) with a 3G mobile data connection. Test results must be provided to Kompetences Declick before go-live as part of the platform acceptance process.</w:t>
      </w:r>
    </w:p>
    <w:p>
      <w:pPr>
        <w:shd w:fill="EBF5FB" w:val="clear"/>
        <w:spacing w:after="0" w:before="120"/>
      </w:pPr>
      <w:r>
        <w:rPr>
          <w:rFonts w:ascii="Arial" w:cs="Arial" w:eastAsia="Arial" w:hAnsi="Arial"/>
          <w:b/>
          <w:bCs/>
          <w:color w:val="1A5CA8"/>
          <w:sz w:val="20"/>
          <w:szCs w:val="20"/>
        </w:rPr>
        <w:t xml:space="preserve">  ✔  REQUIRED</w:t>
      </w:r>
    </w:p>
    <w:p>
      <w:pPr>
        <w:shd w:fill="EBF5FB" w:val="clear"/>
        <w:spacing w:after="120" w:before="0"/>
      </w:pPr>
      <w:r>
        <w:rPr>
          <w:rFonts w:ascii="Arial" w:cs="Arial" w:eastAsia="Arial" w:hAnsi="Arial"/>
          <w:color w:val="222222"/>
          <w:sz w:val="21"/>
          <w:szCs w:val="21"/>
        </w:rPr>
        <w:t xml:space="preserve">  Page load time for the course dashboard and session launch pages must not exceed 3 seconds on a 3G connection. Load time performance must be measured and documented for each target market (Côte d'Ivoire, Nigeria, Ghana, Kenya, Senegal, and DRC as minimum).</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A platform that has been tested only on high-specification devices and high-bandwidth connections is not ready for production deployment in the African market. Platform acceptance testing must explicitly include low-specification device and low-bandwidth connectivity scenarios. Failure to pass these tests at go-live is a blocker to production certification.</w:t>
      </w:r>
    </w:p>
    <w:p>
      <w:r>
        <w:br w:type="page"/>
      </w:r>
    </w:p>
    <w:p>
      <w:pPr>
        <w:shd w:fill="C0392B" w:val="clear"/>
        <w:spacing w:after="200" w:before="320"/>
      </w:pPr>
      <w:r>
        <w:rPr>
          <w:rFonts w:ascii="Arial" w:cs="Arial" w:eastAsia="Arial" w:hAnsi="Arial"/>
          <w:b/>
          <w:bCs/>
          <w:color w:val="FFFFFF"/>
          <w:sz w:val="30"/>
          <w:szCs w:val="30"/>
        </w:rPr>
        <w:t xml:space="preserve">  10. CRITICAL FAILURE MODES — WHAT WILL BREAK THE MODEL  </w:t>
      </w:r>
    </w:p>
    <w:p>
      <w:r>
        <w:t xml:space="preserve"/>
      </w:r>
    </w:p>
    <w:p>
      <w:pPr>
        <w:spacing w:after="80" w:before="80"/>
      </w:pPr>
      <w:r>
        <w:rPr>
          <w:rFonts w:ascii="Arial" w:cs="Arial" w:eastAsia="Arial" w:hAnsi="Arial"/>
          <w:color w:val="222222"/>
          <w:sz w:val="22"/>
          <w:szCs w:val="22"/>
        </w:rPr>
        <w:t xml:space="preserve">The following implementation failures have been observed in EdTech platforms operating in comparable markets. Each one directly undermines a core mechanism of the KD-HCBLM v2.0 model. The platform provider must treat these as explicit non-compliance markers during development and QA.</w:t>
      </w:r>
    </w:p>
    <w:p>
      <w:r>
        <w:t xml:space="preserve"/>
      </w:r>
    </w:p>
    <w:p>
      <w:pPr>
        <w:pStyle w:val="Heading3"/>
        <w:spacing w:after="100" w:before="200"/>
      </w:pPr>
      <w:r>
        <w:rPr>
          <w:rFonts w:ascii="Arial" w:cs="Arial" w:eastAsia="Arial" w:hAnsi="Arial"/>
          <w:b/>
          <w:bCs/>
          <w:color w:val="C0392B"/>
          <w:sz w:val="24"/>
          <w:szCs w:val="24"/>
        </w:rPr>
        <w:t xml:space="preserve">Failure Mode 1 — PAM captured but not reused</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The PAM is captured at Block 0 and stored on the learner's profile, but is not injected into exercise prompts, journal triggers, re-engagement messages, or the Block 4 project brief. The result: courses feel generic, learner relevance drops, and completion rates remain at the African e-learning baseline. This is the single most common and most damaging implementation failure.</w:t>
      </w:r>
    </w:p>
    <w:p>
      <w:r>
        <w:t xml:space="preserve"/>
      </w:r>
    </w:p>
    <w:p>
      <w:pPr>
        <w:pStyle w:val="Heading3"/>
        <w:spacing w:after="100" w:before="200"/>
      </w:pPr>
      <w:r>
        <w:rPr>
          <w:rFonts w:ascii="Arial" w:cs="Arial" w:eastAsia="Arial" w:hAnsi="Arial"/>
          <w:b/>
          <w:bCs/>
          <w:color w:val="C0392B"/>
          <w:sz w:val="24"/>
          <w:szCs w:val="24"/>
        </w:rPr>
        <w:t xml:space="preserve">Failure Mode 2 — Auto-resume resets to session start, not exact position</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The platform saves the learner's progress at session level (which session they were on) but not at video level (how far through the video). After any interruption, the learner is restarted at the beginning of the current video. In African connectivity conditions, where interruptions happen multiple times per session, this creates a loop of repeated content that drives abandonment within days of enrolment.</w:t>
      </w:r>
    </w:p>
    <w:p>
      <w:r>
        <w:t xml:space="preserve"/>
      </w:r>
    </w:p>
    <w:p>
      <w:pPr>
        <w:pStyle w:val="Heading3"/>
        <w:spacing w:after="100" w:before="200"/>
      </w:pPr>
      <w:r>
        <w:rPr>
          <w:rFonts w:ascii="Arial" w:cs="Arial" w:eastAsia="Arial" w:hAnsi="Arial"/>
          <w:b/>
          <w:bCs/>
          <w:color w:val="C0392B"/>
          <w:sz w:val="24"/>
          <w:szCs w:val="24"/>
        </w:rPr>
        <w:t xml:space="preserve">Failure Mode 3 — Block badges issued on time-spent, not on completion gates</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The platform issues block badges based on a time-spent threshold or a percentage of content viewed, rather than on the mandatory completion conditions (exercise completion, quiz pass, journal entries, field application, project submission). This compromises certification integrity. Learners and employers cannot trust a badge that was issued without enforcing the conditions that make it meaningful.</w:t>
      </w:r>
    </w:p>
    <w:p>
      <w:r>
        <w:t xml:space="preserve"/>
      </w:r>
    </w:p>
    <w:p>
      <w:pPr>
        <w:pStyle w:val="Heading3"/>
        <w:spacing w:after="100" w:before="200"/>
      </w:pPr>
      <w:r>
        <w:rPr>
          <w:rFonts w:ascii="Arial" w:cs="Arial" w:eastAsia="Arial" w:hAnsi="Arial"/>
          <w:b/>
          <w:bCs/>
          <w:color w:val="C0392B"/>
          <w:sz w:val="24"/>
          <w:szCs w:val="24"/>
        </w:rPr>
        <w:t xml:space="preserve">Failure Mode 4 — Re-engagement messages sent as generic notifications</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The Day +3, +7 and +14 re-engagement messages are implemented as generic reminder notifications ('Don't forget to continue your course!') without the learner's PAM text, current position data, or deep link to their last session. Generic notifications have near-zero re-engagement efficacy. The personalisation — particularly the PAM reconnection in the Day +7 message — is what makes the re-engagement sequence work.</w:t>
      </w:r>
    </w:p>
    <w:p>
      <w:r>
        <w:t xml:space="preserve"/>
      </w:r>
    </w:p>
    <w:p>
      <w:pPr>
        <w:pStyle w:val="Heading3"/>
        <w:spacing w:after="100" w:before="200"/>
      </w:pPr>
      <w:r>
        <w:rPr>
          <w:rFonts w:ascii="Arial" w:cs="Arial" w:eastAsia="Arial" w:hAnsi="Arial"/>
          <w:b/>
          <w:bCs/>
          <w:color w:val="C0392B"/>
          <w:sz w:val="24"/>
          <w:szCs w:val="24"/>
        </w:rPr>
        <w:t xml:space="preserve">Failure Mode 5 — Progress Peer designation made optional</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The Progress Peer designation is presented as an optional step at Block 0 ('Would you like to share your progress with a colleague?'). Most learners skip it. The social accountability mechanism requires mandatory designation — and automated, non-action-dependent notifications to the peer. An optional sharing button is not a social accountability device.</w:t>
      </w:r>
    </w:p>
    <w:p>
      <w:r>
        <w:t xml:space="preserve"/>
      </w:r>
    </w:p>
    <w:p>
      <w:pPr>
        <w:pStyle w:val="Heading3"/>
        <w:spacing w:after="100" w:before="200"/>
      </w:pPr>
      <w:r>
        <w:rPr>
          <w:rFonts w:ascii="Arial" w:cs="Arial" w:eastAsia="Arial" w:hAnsi="Arial"/>
          <w:b/>
          <w:bCs/>
          <w:color w:val="C0392B"/>
          <w:sz w:val="24"/>
          <w:szCs w:val="24"/>
        </w:rPr>
        <w:t xml:space="preserve">Failure Mode 6 — Block 4 managed by email outside the platform</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The Block 4 certification project is managed via email exchange between learner and evaluator, with project files shared outside the platform. This breaks the certification data trail, makes employer verification impossible, and creates unacceptable operational risk (lost submissions, unenforced deadlines, inconsistent rubric application). The full Block 4 lifecycle must be managed within the platform.</w:t>
      </w:r>
    </w:p>
    <w:p>
      <w:r>
        <w:t xml:space="preserve"/>
      </w:r>
    </w:p>
    <w:p>
      <w:pPr>
        <w:pStyle w:val="Heading3"/>
        <w:spacing w:after="100" w:before="200"/>
      </w:pPr>
      <w:r>
        <w:rPr>
          <w:rFonts w:ascii="Arial" w:cs="Arial" w:eastAsia="Arial" w:hAnsi="Arial"/>
          <w:b/>
          <w:bCs/>
          <w:color w:val="C0392B"/>
          <w:sz w:val="24"/>
          <w:szCs w:val="24"/>
        </w:rPr>
        <w:t xml:space="preserve">Failure Mode 7 — Mobile performance tested only on high-specification devices</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Platform mobile testing is conducted on iPhone 15 Pro and Samsung Galaxy S24 — not on the Tecno Spark, Infinix Hot, or Samsung Galaxy A05 that represent a significant portion of the African professional learner device mix. The platform passes QA but fails in production because the actual device mix was never tested. Acceptance testing must explicitly include low-specification Android devices.</w:t>
      </w:r>
    </w:p>
    <w:p>
      <w:r>
        <w:t xml:space="preserve"/>
      </w:r>
    </w:p>
    <w:p>
      <w:pPr>
        <w:pStyle w:val="Heading3"/>
        <w:spacing w:after="100" w:before="200"/>
      </w:pPr>
      <w:r>
        <w:rPr>
          <w:rFonts w:ascii="Arial" w:cs="Arial" w:eastAsia="Arial" w:hAnsi="Arial"/>
          <w:b/>
          <w:bCs/>
          <w:color w:val="C0392B"/>
          <w:sz w:val="24"/>
          <w:szCs w:val="24"/>
        </w:rPr>
        <w:t xml:space="preserve">Failure Mode 8 — Session duration not displayed before launch</w:t>
      </w:r>
    </w:p>
    <w:p>
      <w:pPr>
        <w:shd w:fill="FDEDEC" w:val="clear"/>
        <w:spacing w:after="0" w:before="100"/>
      </w:pPr>
      <w:r>
        <w:rPr>
          <w:rFonts w:ascii="Arial" w:cs="Arial" w:eastAsia="Arial" w:hAnsi="Arial"/>
          <w:b/>
          <w:bCs/>
          <w:color w:val="C0392B"/>
          <w:sz w:val="20"/>
          <w:szCs w:val="20"/>
        </w:rPr>
        <w:t xml:space="preserve">  ✖  CRITICAL FAILURE MODE</w:t>
      </w:r>
    </w:p>
    <w:p>
      <w:pPr>
        <w:shd w:fill="FDEDEC" w:val="clear"/>
        <w:spacing w:after="100" w:before="0"/>
      </w:pPr>
      <w:r>
        <w:rPr>
          <w:rFonts w:ascii="Arial" w:cs="Arial" w:eastAsia="Arial" w:hAnsi="Arial"/>
          <w:color w:val="222222"/>
          <w:sz w:val="21"/>
          <w:szCs w:val="21"/>
        </w:rPr>
        <w:t xml:space="preserve">  Session cards on the course dashboard show the session title and a thumbnail — but not the session duration. Learners who cannot see how long a session takes will not start sessions they cannot guarantee finishing. Displaying duration before launch is a simple feature with a directly measurable impact on session start rates — particularly for African learners managing fragmented, unpredictable time.</w:t>
      </w:r>
    </w:p>
    <w:p>
      <w:r>
        <w:br w:type="page"/>
      </w:r>
    </w:p>
    <w:p>
      <w:pPr>
        <w:shd w:fill="1C2B3A" w:val="clear"/>
        <w:spacing w:after="200" w:before="320"/>
      </w:pPr>
      <w:r>
        <w:rPr>
          <w:rFonts w:ascii="Arial" w:cs="Arial" w:eastAsia="Arial" w:hAnsi="Arial"/>
          <w:b/>
          <w:bCs/>
          <w:color w:val="FFFFFF"/>
          <w:sz w:val="30"/>
          <w:szCs w:val="30"/>
        </w:rPr>
        <w:t xml:space="preserve">  11. PLATFORM ACCEPTANCE CRITERIA  </w:t>
      </w:r>
    </w:p>
    <w:p>
      <w:r>
        <w:t xml:space="preserve"/>
      </w:r>
    </w:p>
    <w:p>
      <w:pPr>
        <w:spacing w:after="80" w:before="80"/>
      </w:pPr>
      <w:r>
        <w:rPr>
          <w:rFonts w:ascii="Arial" w:cs="Arial" w:eastAsia="Arial" w:hAnsi="Arial"/>
          <w:color w:val="222222"/>
          <w:sz w:val="22"/>
          <w:szCs w:val="22"/>
        </w:rPr>
        <w:t xml:space="preserve">The following acceptance criteria must be demonstrated by the platform provider before Kompetences Declick certifies the platform as production-ready for KD-HCBLM v2.0 courses. Acceptance is binary — each criterion is either met or not met. Partial compliance is not accepted for non-negotiable criteria.</w:t>
      </w:r>
    </w:p>
    <w:p>
      <w:r>
        <w:t xml:space="preserve"/>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2880"/>
        <w:gridCol w:w="1800"/>
      </w:tblGrid>
      <w:tr>
        <w:tc>
          <w:tcPr>
            <w:tcW w:type="dxa" w:w="36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4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88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c>
          <w:tcPr>
            <w:tcW w:type="dxa" w:w="180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Level</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1</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PAM captured and stored before Block 0 completion gate enforced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Functional test: attempt to advance without PAM — confirm gate blocks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2</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PAM text dynamically injected into exercise prompt, journal trigger, Day +7 message, and Block 4 brief</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Functional test: complete Block 0 with known PAM text, verify injection at each touchpoint</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3</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Auto-resume restores exact video position (±5 seconds) after browser close and device change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Test: start video at minute 4, close browser, reopen on different device, verify position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4</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 badge not issued until all completion conditions are met</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Test: complete videos only (skip exercises) — confirm badge not issued</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5</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Progress Peer designation mandatory for Entry Badge — automated notifications sent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Test: attempt Entry Badge without peer designation — confirm gate. Then complete Block 1 and confirm peer receives automated notification within 2 hours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6</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Day +3, +7, +14 re-engagement messages sent with correct content and on schedule</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Test: set learner to inactive, verify Day +3 message contains position + deep link; Day +7 contains PAM text; Day +14 generates admin alert</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7</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 4 full lifecycle in-platform: submission, assignment, rubric scoring, feedback, result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Functional walkthrough: submit test project, assign evaluator, score rubric, submit feedback, confirm certificate issuance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8</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Open Badges 2.0 output with LinkedIn direct import for all badges and certificates</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Test: earn badge, verify OB2.0 metadata, import to LinkedIn test account</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9</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Adaptive bitrate video plays at 200 kbps without session failure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Connectivity test: throttle to 200 kbps, start video, verify uninterrupted playback (allow buffer max 8 seconds)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10</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Full mobile functionality on Android 8.0 / 2GB RAM device on 3G</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Device test: complete full Block 0 on minimum-spec device — PAM entry, quiz, peer designation</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11</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xAPI statements logged at question level with all required fields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LRS query: retrieve statements for test learner, verify all required fields present for quiz interaction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NON-NEGOTIABLE</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12</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Offline session download and auto-sync on reconnect</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Test: download session, enter airplane mode, complete session, restore connectivity, verify sync without learner action</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CRITICAL</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13</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Journal triggers fired at Day +1, +3, +5 with PAM-injected prompt</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Test: complete Block 2 entry, verify triggers fire on schedule with correct PAM 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CRITICAL</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14</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7-day Block 4 turnaround alert sent to admin at Day +5 without feedback</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Test: submit Block 4 project, do not score, verify admin alert fires at Day +5</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CRITICAL</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15</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Employer certificate verification via public URL or API</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Test: retrieve verification URL for earned certificate, verify from unauthenticated browser session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CRITICAL</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16</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Page load under 3 seconds at 3G bandwidth for dashboard and session launch</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Performance test at throttled 3G (10 Mbps down / 3 Mbps up / 100ms latency) using WebPageTest</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REQUIRED</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17</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Competency entry profile displayed immediately after positioning quiz</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Functional test: complete positioning quiz, verify two-priority profile displayed before advancing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REQUIRED</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18</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Session summary displayed at entry of every session after first</w:t>
            </w:r>
          </w:p>
        </w:tc>
        <w:tc>
          <w:tcPr>
            <w:tcW w:type="dxa" w:w="288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Functional test: complete Session 1, open Session 2, verify summary of Session 1 displayed</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REQUIRED</w:t>
            </w:r>
          </w:p>
        </w:tc>
      </w:tr>
    </w:tbl>
    <w:p>
      <w:r>
        <w:br w:type="page"/>
      </w:r>
    </w:p>
    <w:p>
      <w:pPr>
        <w:shd w:fill="1C2B3A" w:val="clear"/>
        <w:spacing w:after="200" w:before="320"/>
      </w:pPr>
      <w:r>
        <w:rPr>
          <w:rFonts w:ascii="Arial" w:cs="Arial" w:eastAsia="Arial" w:hAnsi="Arial"/>
          <w:b/>
          <w:bCs/>
          <w:color w:val="FFFFFF"/>
          <w:sz w:val="30"/>
          <w:szCs w:val="30"/>
        </w:rPr>
        <w:t xml:space="preserve">  12. GLOSSARY OF PLATFORM TERMS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PAM — Personal Anchoring Moment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free-text input collected at Block 0 in which the learner describes their real professional situation. The PAM is the personalisation anchor of the KD-HCBLM v2.0 model — it must be stored, preserved and systematically reused at defined course touchpoints throughout the learner's journey.</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PAM Continuity</w:t>
            </w:r>
          </w:p>
        </w:tc>
        <w:tc>
          <w:tcPr>
            <w:tcW w:type="dxa" w:w="6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systematic reuse of the learner's PAM text in exercise prompts, journal triggers, re-engagement messages and the Block 4 project brief. PAM Continuity is a platform infrastructure requirement, not a content feature.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Progress Peer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 colleague, mentor or peer nominated by the learner at Block 0 to receive automatic block completion notifications. The nomination is mandatory for Entry Badge issuance. Notifications are sent automatically by the platform — no learner action is required after initial nomination.</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 Gate</w:t>
            </w:r>
          </w:p>
        </w:tc>
        <w:tc>
          <w:tcPr>
            <w:tcW w:type="dxa" w:w="6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platform-enforced prerequisite condition that prevents a learner from accessing the next block until all mandatory elements of the current block are complete. Block gates are non-negotiable — they protect the integrity of the certification pathway.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Auto-Resume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platform capability to restore a learner's exact position within a micro-session — to the nearest 5 seconds within video content — after any interruption, including network drop, browser close, session timeout and device change. Auto-resume requires server-side session state storage.</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Positioning Diagnostic</w:t>
            </w:r>
          </w:p>
        </w:tc>
        <w:tc>
          <w:tcPr>
            <w:tcW w:type="dxa" w:w="6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contextualised situational quiz administered at Block 0 to establish the learner's competency entry profile. The platform must break quiz performance down by sub-area and surface the two lowest-scoring sub-areas as learning priorities at Block 2 entry.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xAPI (Experience API)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data specification used to record and store learner interaction data. All learner interactions on the platform must be logged as xAPI statements, accessible via a Learning Record Store API.</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Open Badges 2.0</w:t>
            </w:r>
          </w:p>
        </w:tc>
        <w:tc>
          <w:tcPr>
            <w:tcW w:type="dxa" w:w="6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international standard for digital badge metadata. All Kompetences Declick badges and certificates must conform to this standard to enable LinkedIn import and employer verification.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Adaptive Bitrate Streaming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A video delivery method that automatically adjusts video quality based on the viewer's available bandwidth. Required for all video content to ensure playback in low-bandwidth African connectivity conditions.</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Day +3 / +7 / +14 Re-engagement</w:t>
            </w:r>
          </w:p>
        </w:tc>
        <w:tc>
          <w:tcPr>
            <w:tcW w:type="dxa" w:w="6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three automated re-engagement messages triggered when a learner has not resumed activity. Day +3 is a positional reminder; Day +7 reconnects the learner to their PAM; Day +14 is an administrator escalation signal.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Block 4 Certification Project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substantive real-world deliverable that constitutes the final certification assessment. The project brief is derived from the learner's PAM. Evaluation uses a published rubric with 4 to 5 weighted criteria. The full project lifecycle must be managed within the platform.</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Completion Gate</w:t>
            </w:r>
          </w:p>
        </w:tc>
        <w:tc>
          <w:tcPr>
            <w:tcW w:type="dxa" w:w="6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The specific conditions that must all be met before a block badge is issued. Completion gates enforce certification integrity — a badge issued without enforcing completion conditions is not a reliable competency signal.</w:t>
            </w:r>
          </w:p>
        </w:tc>
      </w:tr>
    </w:tbl>
    <w:p>
      <w:r>
        <w:br w:type="page"/>
      </w:r>
    </w:p>
    <w:p>
      <w:pPr>
        <w:shd w:fill="1A7A4A" w:val="clear"/>
        <w:spacing w:after="200" w:before="320"/>
      </w:pPr>
      <w:r>
        <w:rPr>
          <w:rFonts w:ascii="Arial" w:cs="Arial" w:eastAsia="Arial" w:hAnsi="Arial"/>
          <w:b/>
          <w:bCs/>
          <w:color w:val="FFFFFF"/>
          <w:sz w:val="30"/>
          <w:szCs w:val="30"/>
        </w:rPr>
        <w:t xml:space="preserve">  CONTACT &amp; ESCALATION  </w:t>
      </w:r>
    </w:p>
    <w:p>
      <w:r>
        <w:t xml:space="preserve"/>
      </w:r>
    </w:p>
    <w:p>
      <w:pPr>
        <w:spacing w:after="80" w:before="80"/>
      </w:pPr>
      <w:r>
        <w:rPr>
          <w:rFonts w:ascii="Arial" w:cs="Arial" w:eastAsia="Arial" w:hAnsi="Arial"/>
          <w:color w:val="222222"/>
          <w:sz w:val="22"/>
          <w:szCs w:val="22"/>
        </w:rPr>
        <w:t xml:space="preserve">For technical clarification, requirement queries, or acceptance test scheduling: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c>
          <w:tcPr>
            <w:tcW w:type="dxa" w:w="252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24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3600"/>
            <w:tcBorders>
              <w:top w:val="single" w:color="DDDDDD" w:sz="1"/>
              <w:left w:val="single" w:color="DDDDDD" w:sz="1"/>
              <w:bottom w:val="single" w:color="DDDDDD" w:sz="1"/>
              <w:right w:val="single" w:color="DDDDDD" w:sz="1"/>
            </w:tcBorders>
            <w:shd w:fill="1C2B3A"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Platform</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declick.kompetences.net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Product and course information</w:t>
            </w:r>
          </w:p>
        </w:tc>
      </w:tr>
      <w:tr>
        <w:tc>
          <w:tcPr>
            <w:tcW w:type="dxa" w:w="25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Partnership &amp; Platform enquiries</w:t>
            </w:r>
          </w:p>
        </w:tc>
        <w:tc>
          <w:tcPr>
            <w:tcW w:type="dxa" w:w="32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partnerships@kompetences.net</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222222"/>
                <w:sz w:val="21"/>
                <w:szCs w:val="21"/>
              </w:rPr>
              <w:t xml:space="preserve">Technical requirements, integration questions, acceptance test scheduling</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Investor relations</w:t>
            </w:r>
          </w:p>
        </w:tc>
        <w:tc>
          <w:tcPr>
            <w:tcW w:type="dxa" w:w="3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investors@kompetences.net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Reporting, KPIs, commercial questions</w:t>
            </w:r>
          </w:p>
        </w:tc>
      </w:tr>
    </w:tbl>
    <w:p>
      <w:r>
        <w:t xml:space="preserve"/>
      </w:r>
    </w:p>
    <w:p>
      <w:pPr>
        <w:spacing w:after="80" w:before="240"/>
        <w:jc w:val="center"/>
      </w:pPr>
      <w:r>
        <w:rPr>
          <w:rFonts w:ascii="Arial" w:cs="Arial" w:eastAsia="Arial" w:hAnsi="Arial"/>
          <w:i/>
          <w:iCs/>
          <w:color w:val="888888"/>
          <w:sz w:val="20"/>
          <w:szCs w:val="20"/>
        </w:rPr>
        <w:t xml:space="preserve">KD-HCBLM v2.0 — KOMPETENCES DECLICK  ·  declick.kompetences.net</w:t>
      </w:r>
    </w:p>
    <w:p>
      <w:pPr>
        <w:spacing w:after="80" w:before="0"/>
        <w:jc w:val="center"/>
      </w:pPr>
      <w:r>
        <w:rPr>
          <w:rFonts w:ascii="Arial" w:cs="Arial" w:eastAsia="Arial" w:hAnsi="Arial"/>
          <w:i/>
          <w:iCs/>
          <w:color w:val="888888"/>
          <w:sz w:val="20"/>
          <w:szCs w:val="20"/>
        </w:rPr>
        <w:t xml:space="preserve">Platform Technical Specification  ·  Confidential — Platform Provider Use Only</w:t>
      </w:r>
    </w:p>
    <w:p>
      <w:pPr>
        <w:spacing w:after="80" w:before="0"/>
        <w:jc w:val="center"/>
      </w:pPr>
      <w:r>
        <w:rPr>
          <w:rFonts w:ascii="Arial" w:cs="Arial" w:eastAsia="Arial" w:hAnsi="Arial"/>
          <w:i/>
          <w:iCs/>
          <w:color w:val="AAAAAA"/>
          <w:sz w:val="18"/>
          <w:szCs w:val="18"/>
        </w:rPr>
        <w:t xml:space="preserve">Reproduction or transmission outside the platform provider relationship is not permitted without written authorisation from Kompetences Declick.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2026-05-14T15:59:52.078Z</dcterms:created>
  <dcterms:modified xsi:type="dcterms:W3CDTF">2026-05-14T15:59:52.091Z</dcterms:modified>
</cp:coreProperties>
</file>

<file path=docProps/custom.xml><?xml version="1.0" encoding="utf-8"?>
<Properties xmlns="http://schemas.openxmlformats.org/officeDocument/2006/custom-properties" xmlns:vt="http://schemas.openxmlformats.org/officeDocument/2006/docPropsVTypes"/>
</file>