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7a2727"/>
          <w:sz w:val="44"/>
          <w:szCs w:val="44"/>
          <w:rtl w:val="0"/>
        </w:rPr>
        <w:t xml:space="preserve">Executive Summary</w:t>
      </w:r>
      <w:r w:rsidDel="00000000" w:rsidR="00000000" w:rsidRPr="00000000">
        <w:rPr>
          <w:rtl w:val="0"/>
        </w:rPr>
      </w:r>
    </w:p>
    <w:p w:rsidR="00000000" w:rsidDel="00000000" w:rsidP="00000000" w:rsidRDefault="00000000" w:rsidRPr="00000000" w14:paraId="00000002">
      <w:pPr>
        <w:pStyle w:val="Heading1"/>
        <w:pBdr>
          <w:bottom w:color="a63a3a" w:space="4" w:sz="8" w:val="single"/>
        </w:pBdr>
        <w:spacing w:after="160" w:before="360" w:lineRule="auto"/>
        <w:rPr/>
      </w:pPr>
      <w:r w:rsidDel="00000000" w:rsidR="00000000" w:rsidRPr="00000000">
        <w:rPr>
          <w:rFonts w:ascii="Calibri" w:cs="Calibri" w:eastAsia="Calibri" w:hAnsi="Calibri"/>
          <w:b w:val="1"/>
          <w:bCs w:val="1"/>
          <w:color w:val="7a2727"/>
          <w:sz w:val="30"/>
          <w:szCs w:val="30"/>
          <w:rtl w:val="0"/>
        </w:rPr>
        <w:t xml:space="preserve">HR Attrition Analysis</w:t>
      </w:r>
      <w:r w:rsidDel="00000000" w:rsidR="00000000" w:rsidRPr="00000000">
        <w:rPr>
          <w:rtl w:val="0"/>
        </w:rPr>
      </w:r>
    </w:p>
    <w:p w:rsidR="00000000" w:rsidDel="00000000" w:rsidP="00000000" w:rsidRDefault="00000000" w:rsidRPr="00000000" w14:paraId="00000003">
      <w:pPr>
        <w:pStyle w:val="Heading2"/>
        <w:spacing w:after="100" w:before="260" w:lineRule="auto"/>
        <w:rPr/>
      </w:pPr>
      <w:r w:rsidDel="00000000" w:rsidR="00000000" w:rsidRPr="00000000">
        <w:rPr>
          <w:rFonts w:ascii="Calibri" w:cs="Calibri" w:eastAsia="Calibri" w:hAnsi="Calibri"/>
          <w:b w:val="1"/>
          <w:bCs w:val="1"/>
          <w:color w:val="a63a3a"/>
          <w:sz w:val="24"/>
          <w:szCs w:val="24"/>
          <w:rtl w:val="0"/>
        </w:rPr>
        <w:t xml:space="preserve">Overview</w:t>
      </w:r>
      <w:r w:rsidDel="00000000" w:rsidR="00000000" w:rsidRPr="00000000">
        <w:rPr>
          <w:rtl w:val="0"/>
        </w:rPr>
      </w:r>
    </w:p>
    <w:p w:rsidR="00000000" w:rsidDel="00000000" w:rsidP="00000000" w:rsidRDefault="00000000" w:rsidRPr="00000000" w14:paraId="00000004">
      <w:pPr>
        <w:spacing w:after="16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This analysis is focused towards  attrition across 1,470 employees utilizing EDA, PowerBI dashboards &amp; DAX measures to identify which segments carry the biggest risk of turnover / highest attrition rates.</w:t>
      </w:r>
    </w:p>
    <w:p w:rsidR="00000000" w:rsidDel="00000000" w:rsidP="00000000" w:rsidRDefault="00000000" w:rsidRPr="00000000" w14:paraId="00000005">
      <w:pPr>
        <w:rPr/>
      </w:pPr>
      <w:r w:rsidDel="00000000" w:rsidR="00000000" w:rsidRPr="00000000">
        <w:rPr>
          <w:rtl w:val="0"/>
        </w:rPr>
      </w:r>
    </w:p>
    <w:tbl>
      <w:tblPr>
        <w:tblStyle w:val="Table1"/>
        <w:tblW w:w="93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8"/>
        <w:gridCol w:w="2328"/>
        <w:gridCol w:w="2328"/>
        <w:gridCol w:w="2328"/>
        <w:tblGridChange w:id="0">
          <w:tblGrid>
            <w:gridCol w:w="2328"/>
            <w:gridCol w:w="2328"/>
            <w:gridCol w:w="2328"/>
            <w:gridCol w:w="2328"/>
          </w:tblGrid>
        </w:tblGridChange>
      </w:tblGrid>
      <w:tr>
        <w:trPr>
          <w:cantSplit w:val="0"/>
          <w:tblHeader w:val="0"/>
        </w:trPr>
        <w:tc>
          <w:tcPr>
            <w:shd w:fill="8c3831" w:val="clear"/>
            <w:tcMar>
              <w:top w:w="160.0" w:type="dxa"/>
              <w:left w:w="120.0" w:type="dxa"/>
              <w:bottom w:w="160.0" w:type="dxa"/>
              <w:right w:w="120.0" w:type="dxa"/>
            </w:tcMar>
            <w:vAlign w:val="center"/>
          </w:tcPr>
          <w:p w:rsidR="00000000" w:rsidDel="00000000" w:rsidP="00000000" w:rsidRDefault="00000000" w:rsidRPr="00000000" w14:paraId="00000006">
            <w:pPr>
              <w:spacing w:after="40" w:lineRule="auto"/>
              <w:jc w:val="center"/>
              <w:rPr/>
            </w:pPr>
            <w:r w:rsidDel="00000000" w:rsidR="00000000" w:rsidRPr="00000000">
              <w:rPr>
                <w:rFonts w:ascii="Lato" w:cs="Lato" w:eastAsia="Lato" w:hAnsi="Lato"/>
                <w:b w:val="1"/>
                <w:bCs w:val="1"/>
                <w:color w:val="ffffff"/>
                <w:sz w:val="32"/>
                <w:szCs w:val="32"/>
                <w:rtl w:val="0"/>
              </w:rPr>
              <w:t xml:space="preserve">1,470</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Lato" w:cs="Lato" w:eastAsia="Lato" w:hAnsi="Lato"/>
                <w:color w:val="ffffff"/>
                <w:sz w:val="18"/>
                <w:szCs w:val="18"/>
                <w:rtl w:val="0"/>
              </w:rPr>
              <w:t xml:space="preserve">TOTAL EMPLOYEES</w:t>
            </w:r>
            <w:r w:rsidDel="00000000" w:rsidR="00000000" w:rsidRPr="00000000">
              <w:rPr>
                <w:rtl w:val="0"/>
              </w:rPr>
            </w:r>
          </w:p>
        </w:tc>
        <w:tc>
          <w:tcPr>
            <w:shd w:fill="8c3831" w:val="clear"/>
            <w:tcMar>
              <w:top w:w="160.0" w:type="dxa"/>
              <w:left w:w="120.0" w:type="dxa"/>
              <w:bottom w:w="160.0" w:type="dxa"/>
              <w:right w:w="120.0" w:type="dxa"/>
            </w:tcMar>
            <w:vAlign w:val="center"/>
          </w:tcPr>
          <w:p w:rsidR="00000000" w:rsidDel="00000000" w:rsidP="00000000" w:rsidRDefault="00000000" w:rsidRPr="00000000" w14:paraId="00000008">
            <w:pPr>
              <w:spacing w:after="40" w:lineRule="auto"/>
              <w:jc w:val="center"/>
              <w:rPr/>
            </w:pPr>
            <w:r w:rsidDel="00000000" w:rsidR="00000000" w:rsidRPr="00000000">
              <w:rPr>
                <w:rFonts w:ascii="Lato" w:cs="Lato" w:eastAsia="Lato" w:hAnsi="Lato"/>
                <w:b w:val="1"/>
                <w:bCs w:val="1"/>
                <w:color w:val="ffffff"/>
                <w:sz w:val="32"/>
                <w:szCs w:val="32"/>
                <w:rtl w:val="0"/>
              </w:rPr>
              <w:t xml:space="preserve">237</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Lato" w:cs="Lato" w:eastAsia="Lato" w:hAnsi="Lato"/>
                <w:color w:val="ffffff"/>
                <w:sz w:val="18"/>
                <w:szCs w:val="18"/>
                <w:rtl w:val="0"/>
              </w:rPr>
              <w:t xml:space="preserve">DEPARTED</w:t>
            </w:r>
            <w:r w:rsidDel="00000000" w:rsidR="00000000" w:rsidRPr="00000000">
              <w:rPr>
                <w:rtl w:val="0"/>
              </w:rPr>
            </w:r>
          </w:p>
        </w:tc>
        <w:tc>
          <w:tcPr>
            <w:shd w:fill="8c3831" w:val="clear"/>
            <w:tcMar>
              <w:top w:w="160.0" w:type="dxa"/>
              <w:left w:w="120.0" w:type="dxa"/>
              <w:bottom w:w="160.0" w:type="dxa"/>
              <w:right w:w="120.0" w:type="dxa"/>
            </w:tcMar>
            <w:vAlign w:val="center"/>
          </w:tcPr>
          <w:p w:rsidR="00000000" w:rsidDel="00000000" w:rsidP="00000000" w:rsidRDefault="00000000" w:rsidRPr="00000000" w14:paraId="0000000A">
            <w:pPr>
              <w:spacing w:after="40" w:lineRule="auto"/>
              <w:jc w:val="center"/>
              <w:rPr/>
            </w:pPr>
            <w:r w:rsidDel="00000000" w:rsidR="00000000" w:rsidRPr="00000000">
              <w:rPr>
                <w:rFonts w:ascii="Lato" w:cs="Lato" w:eastAsia="Lato" w:hAnsi="Lato"/>
                <w:b w:val="1"/>
                <w:bCs w:val="1"/>
                <w:color w:val="ffffff"/>
                <w:sz w:val="32"/>
                <w:szCs w:val="32"/>
                <w:rtl w:val="0"/>
              </w:rPr>
              <w:t xml:space="preserve">16.12%</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Lato" w:cs="Lato" w:eastAsia="Lato" w:hAnsi="Lato"/>
                <w:color w:val="ffffff"/>
                <w:sz w:val="18"/>
                <w:szCs w:val="18"/>
                <w:rtl w:val="0"/>
              </w:rPr>
              <w:t xml:space="preserve">ATTRITION RATE</w:t>
            </w:r>
            <w:r w:rsidDel="00000000" w:rsidR="00000000" w:rsidRPr="00000000">
              <w:rPr>
                <w:rtl w:val="0"/>
              </w:rPr>
            </w:r>
          </w:p>
        </w:tc>
        <w:tc>
          <w:tcPr>
            <w:shd w:fill="8c3831" w:val="clear"/>
            <w:tcMar>
              <w:top w:w="160.0" w:type="dxa"/>
              <w:left w:w="120.0" w:type="dxa"/>
              <w:bottom w:w="160.0" w:type="dxa"/>
              <w:right w:w="120.0" w:type="dxa"/>
            </w:tcMar>
            <w:vAlign w:val="center"/>
          </w:tcPr>
          <w:p w:rsidR="00000000" w:rsidDel="00000000" w:rsidP="00000000" w:rsidRDefault="00000000" w:rsidRPr="00000000" w14:paraId="0000000C">
            <w:pPr>
              <w:spacing w:after="40" w:lineRule="auto"/>
              <w:jc w:val="center"/>
              <w:rPr/>
            </w:pPr>
            <w:r w:rsidDel="00000000" w:rsidR="00000000" w:rsidRPr="00000000">
              <w:rPr>
                <w:rFonts w:ascii="Lato" w:cs="Lato" w:eastAsia="Lato" w:hAnsi="Lato"/>
                <w:b w:val="1"/>
                <w:bCs w:val="1"/>
                <w:color w:val="ffffff"/>
                <w:sz w:val="32"/>
                <w:szCs w:val="32"/>
                <w:rtl w:val="0"/>
              </w:rPr>
              <w:t xml:space="preserve">7 yrs</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Lato" w:cs="Lato" w:eastAsia="Lato" w:hAnsi="Lato"/>
                <w:color w:val="ffffff"/>
                <w:sz w:val="18"/>
                <w:szCs w:val="18"/>
                <w:rtl w:val="0"/>
              </w:rPr>
              <w:t xml:space="preserve">AVG. TENURE</w:t>
            </w:r>
            <w:r w:rsidDel="00000000" w:rsidR="00000000" w:rsidRPr="00000000">
              <w:rPr>
                <w:rtl w:val="0"/>
              </w:rPr>
            </w:r>
          </w:p>
        </w:tc>
      </w:tr>
    </w:tbl>
    <w:p w:rsidR="00000000" w:rsidDel="00000000" w:rsidP="00000000" w:rsidRDefault="00000000" w:rsidRPr="00000000" w14:paraId="0000000E">
      <w:pPr>
        <w:pStyle w:val="Heading2"/>
        <w:spacing w:after="100" w:before="260" w:lineRule="auto"/>
        <w:rPr/>
      </w:pPr>
      <w:r w:rsidDel="00000000" w:rsidR="00000000" w:rsidRPr="00000000">
        <w:rPr>
          <w:rFonts w:ascii="Calibri" w:cs="Calibri" w:eastAsia="Calibri" w:hAnsi="Calibri"/>
          <w:b w:val="1"/>
          <w:bCs w:val="1"/>
          <w:color w:val="a63a3a"/>
          <w:sz w:val="24"/>
          <w:szCs w:val="24"/>
          <w:rtl w:val="0"/>
        </w:rPr>
        <w:t xml:space="preserve">Problem</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color w:val="262626"/>
          <w:sz w:val="22"/>
          <w:szCs w:val="22"/>
          <w:rtl w:val="0"/>
        </w:rPr>
        <w:t xml:space="preserve">total attrition stands at </w:t>
      </w:r>
      <w:r w:rsidDel="00000000" w:rsidR="00000000" w:rsidRPr="00000000">
        <w:rPr>
          <w:rFonts w:ascii="Calibri" w:cs="Calibri" w:eastAsia="Calibri" w:hAnsi="Calibri"/>
          <w:b w:val="1"/>
          <w:bCs w:val="1"/>
          <w:color w:val="262626"/>
          <w:sz w:val="22"/>
          <w:szCs w:val="22"/>
          <w:rtl w:val="0"/>
        </w:rPr>
        <w:t xml:space="preserve">16.12% </w:t>
      </w:r>
      <w:r w:rsidDel="00000000" w:rsidR="00000000" w:rsidRPr="00000000">
        <w:rPr>
          <w:rFonts w:ascii="Calibri" w:cs="Calibri" w:eastAsia="Calibri" w:hAnsi="Calibri"/>
          <w:color w:val="262626"/>
          <w:sz w:val="22"/>
          <w:szCs w:val="22"/>
          <w:rtl w:val="0"/>
        </w:rPr>
        <w:t xml:space="preserve">(237 of 1,470 employees), data on which roles, working conditions or tenure stages , etc. that actually drive that number can be used to assist with retention budget allocation.</w:t>
        <w:br w:type="textWrapping"/>
        <w:t xml:space="preserve">HR efforts at retention can risk getting spread across the workforce instead of targeting segments where it will have the most impact.</w:t>
      </w:r>
      <w:r w:rsidDel="00000000" w:rsidR="00000000" w:rsidRPr="00000000">
        <w:rPr>
          <w:rtl w:val="0"/>
        </w:rPr>
      </w:r>
    </w:p>
    <w:p w:rsidR="00000000" w:rsidDel="00000000" w:rsidP="00000000" w:rsidRDefault="00000000" w:rsidRPr="00000000" w14:paraId="00000010">
      <w:pPr>
        <w:pStyle w:val="Heading2"/>
        <w:spacing w:after="100" w:before="260" w:lineRule="auto"/>
        <w:rPr/>
      </w:pPr>
      <w:r w:rsidDel="00000000" w:rsidR="00000000" w:rsidRPr="00000000">
        <w:rPr>
          <w:rFonts w:ascii="Calibri" w:cs="Calibri" w:eastAsia="Calibri" w:hAnsi="Calibri"/>
          <w:b w:val="1"/>
          <w:bCs w:val="1"/>
          <w:color w:val="a63a3a"/>
          <w:sz w:val="24"/>
          <w:szCs w:val="24"/>
          <w:rtl w:val="0"/>
        </w:rPr>
        <w:t xml:space="preserve">Details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Sales </w:t>
      </w:r>
      <w:r w:rsidDel="00000000" w:rsidR="00000000" w:rsidRPr="00000000">
        <w:rPr>
          <w:rFonts w:ascii="Calibri" w:cs="Calibri" w:eastAsia="Calibri" w:hAnsi="Calibri"/>
          <w:b w:val="1"/>
          <w:bCs w:val="1"/>
          <w:color w:val="262626"/>
          <w:sz w:val="22"/>
          <w:szCs w:val="22"/>
          <w:rtl w:val="0"/>
        </w:rPr>
        <w:t xml:space="preserve">Representatives</w:t>
      </w:r>
      <w:r w:rsidDel="00000000" w:rsidR="00000000" w:rsidRPr="00000000">
        <w:rPr>
          <w:rFonts w:ascii="Calibri" w:cs="Calibri" w:eastAsia="Calibri" w:hAnsi="Calibri"/>
          <w:color w:val="262626"/>
          <w:sz w:val="22"/>
          <w:szCs w:val="22"/>
          <w:rtl w:val="0"/>
        </w:rPr>
        <w:t xml:space="preserve"> have an attrition rate of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39.76%</w:t>
      </w:r>
      <w:r w:rsidDel="00000000" w:rsidR="00000000" w:rsidRPr="00000000">
        <w:rPr>
          <w:rFonts w:ascii="Calibri" w:cs="Calibri" w:eastAsia="Calibri" w:hAnsi="Calibri"/>
          <w:color w:val="262626"/>
          <w:sz w:val="22"/>
          <w:szCs w:val="22"/>
          <w:rtl w:val="0"/>
        </w:rPr>
        <w:t xml:space="preserve">, being a true statistical outlier with a Z-score of 2.0, against the mean attrition rate of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15.7% across all roles.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1"/>
          <w:bCs w:val="1"/>
          <w:color w:val="262626"/>
          <w:sz w:val="22"/>
          <w:szCs w:val="22"/>
          <w:rtl w:val="0"/>
        </w:rPr>
        <w:t xml:space="preserve">Employees who work overtime</w:t>
      </w:r>
      <w:r w:rsidDel="00000000" w:rsidR="00000000" w:rsidRPr="00000000">
        <w:rPr>
          <w:rFonts w:ascii="Calibri" w:cs="Calibri" w:eastAsia="Calibri" w:hAnsi="Calibri"/>
          <w:color w:val="262626"/>
          <w:sz w:val="22"/>
          <w:szCs w:val="22"/>
          <w:rtl w:val="0"/>
        </w:rPr>
        <w:t xml:space="preserve"> (30.53% attrition rate) are 2.9 times more likely to leave in comparison to employees who do not work overtime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10.44% </w:t>
      </w:r>
      <w:r w:rsidDel="00000000" w:rsidR="00000000" w:rsidRPr="00000000">
        <w:rPr>
          <w:rFonts w:ascii="Calibri" w:cs="Calibri" w:eastAsia="Calibri" w:hAnsi="Calibri"/>
          <w:color w:val="262626"/>
          <w:sz w:val="22"/>
          <w:szCs w:val="22"/>
          <w:rtl w:val="0"/>
        </w:rPr>
        <w:t xml:space="preserve">attrition rate)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1"/>
          <w:bCs w:val="1"/>
          <w:color w:val="262626"/>
          <w:sz w:val="22"/>
          <w:szCs w:val="22"/>
          <w:rtl w:val="0"/>
        </w:rPr>
        <w:t xml:space="preserve">Attrition based on t</w:t>
      </w: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enure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attrition is front-loaded, </w:t>
      </w:r>
      <w:r w:rsidDel="00000000" w:rsidR="00000000" w:rsidRPr="00000000">
        <w:rPr>
          <w:rFonts w:ascii="Calibri" w:cs="Calibri" w:eastAsia="Calibri" w:hAnsi="Calibri"/>
          <w:color w:val="262626"/>
          <w:sz w:val="22"/>
          <w:szCs w:val="22"/>
          <w:rtl w:val="0"/>
        </w:rPr>
        <w:t xml:space="preserve">with an attrition rate of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29.82% in an employee's first 0–2 years, </w:t>
      </w:r>
      <w:r w:rsidDel="00000000" w:rsidR="00000000" w:rsidRPr="00000000">
        <w:rPr>
          <w:rFonts w:ascii="Calibri" w:cs="Calibri" w:eastAsia="Calibri" w:hAnsi="Calibri"/>
          <w:color w:val="262626"/>
          <w:sz w:val="22"/>
          <w:szCs w:val="22"/>
          <w:rtl w:val="0"/>
        </w:rPr>
        <w:t xml:space="preserve">with a steady decline when moving towards more tenured groups, with an attrition rate of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10.38% </w:t>
      </w:r>
      <w:r w:rsidDel="00000000" w:rsidR="00000000" w:rsidRPr="00000000">
        <w:rPr>
          <w:rFonts w:ascii="Calibri" w:cs="Calibri" w:eastAsia="Calibri" w:hAnsi="Calibri"/>
          <w:color w:val="262626"/>
          <w:sz w:val="22"/>
          <w:szCs w:val="22"/>
          <w:rtl w:val="0"/>
        </w:rPr>
        <w:t xml:space="preserve">for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10+ years tenure group.</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risk </w:t>
      </w:r>
      <w:r w:rsidDel="00000000" w:rsidR="00000000" w:rsidRPr="00000000">
        <w:rPr>
          <w:rFonts w:ascii="Calibri" w:cs="Calibri" w:eastAsia="Calibri" w:hAnsi="Calibri"/>
          <w:b w:val="1"/>
          <w:bCs w:val="1"/>
          <w:color w:val="262626"/>
          <w:sz w:val="22"/>
          <w:szCs w:val="22"/>
          <w:rtl w:val="0"/>
        </w:rPr>
        <w:t xml:space="preserve">of attrition rises </w:t>
      </w: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consistently with </w:t>
      </w:r>
      <w:r w:rsidDel="00000000" w:rsidR="00000000" w:rsidRPr="00000000">
        <w:rPr>
          <w:rFonts w:ascii="Calibri" w:cs="Calibri" w:eastAsia="Calibri" w:hAnsi="Calibri"/>
          <w:b w:val="1"/>
          <w:bCs w:val="1"/>
          <w:color w:val="262626"/>
          <w:sz w:val="22"/>
          <w:szCs w:val="22"/>
          <w:rtl w:val="0"/>
        </w:rPr>
        <w:t xml:space="preserve">frequency of business travel</w:t>
      </w:r>
      <w:r w:rsidDel="00000000" w:rsidR="00000000" w:rsidRPr="00000000">
        <w:rPr>
          <w:rFonts w:ascii="Calibri" w:cs="Calibri" w:eastAsia="Calibri" w:hAnsi="Calibri"/>
          <w:color w:val="262626"/>
          <w:sz w:val="22"/>
          <w:szCs w:val="22"/>
          <w:rtl w:val="0"/>
        </w:rPr>
        <w:t xml:space="preserve">, as the attrition rate of frequent travelers sits at</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24.91% </w:t>
      </w:r>
      <w:r w:rsidDel="00000000" w:rsidR="00000000" w:rsidRPr="00000000">
        <w:rPr>
          <w:rFonts w:ascii="Calibri" w:cs="Calibri" w:eastAsia="Calibri" w:hAnsi="Calibri"/>
          <w:color w:val="262626"/>
          <w:sz w:val="22"/>
          <w:szCs w:val="22"/>
          <w:rtl w:val="0"/>
        </w:rPr>
        <w:t xml:space="preserve">with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14.96% </w:t>
      </w:r>
      <w:r w:rsidDel="00000000" w:rsidR="00000000" w:rsidRPr="00000000">
        <w:rPr>
          <w:rFonts w:ascii="Calibri" w:cs="Calibri" w:eastAsia="Calibri" w:hAnsi="Calibri"/>
          <w:color w:val="262626"/>
          <w:sz w:val="22"/>
          <w:szCs w:val="22"/>
          <w:rtl w:val="0"/>
        </w:rPr>
        <w:t xml:space="preserve">for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rare</w:t>
      </w:r>
      <w:r w:rsidDel="00000000" w:rsidR="00000000" w:rsidRPr="00000000">
        <w:rPr>
          <w:rFonts w:ascii="Calibri" w:cs="Calibri" w:eastAsia="Calibri" w:hAnsi="Calibri"/>
          <w:color w:val="262626"/>
          <w:sz w:val="22"/>
          <w:szCs w:val="22"/>
          <w:rtl w:val="0"/>
        </w:rPr>
        <w:t xml:space="preserve"> travelers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w:t>
      </w:r>
      <w:r w:rsidDel="00000000" w:rsidR="00000000" w:rsidRPr="00000000">
        <w:rPr>
          <w:rFonts w:ascii="Calibri" w:cs="Calibri" w:eastAsia="Calibri" w:hAnsi="Calibri"/>
          <w:color w:val="262626"/>
          <w:sz w:val="22"/>
          <w:szCs w:val="22"/>
          <w:rtl w:val="0"/>
        </w:rPr>
        <w:t xml:space="preserve">and</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8.00% </w:t>
      </w:r>
      <w:r w:rsidDel="00000000" w:rsidR="00000000" w:rsidRPr="00000000">
        <w:rPr>
          <w:rFonts w:ascii="Calibri" w:cs="Calibri" w:eastAsia="Calibri" w:hAnsi="Calibri"/>
          <w:color w:val="262626"/>
          <w:sz w:val="22"/>
          <w:szCs w:val="22"/>
          <w:rtl w:val="0"/>
        </w:rPr>
        <w:t xml:space="preserve">for non-travelers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pStyle w:val="Heading2"/>
        <w:spacing w:after="100" w:before="260" w:lineRule="auto"/>
        <w:rPr/>
      </w:pPr>
      <w:r w:rsidDel="00000000" w:rsidR="00000000" w:rsidRPr="00000000">
        <w:rPr>
          <w:rFonts w:ascii="Calibri" w:cs="Calibri" w:eastAsia="Calibri" w:hAnsi="Calibri"/>
          <w:b w:val="1"/>
          <w:bCs w:val="1"/>
          <w:color w:val="a63a3a"/>
          <w:sz w:val="24"/>
          <w:szCs w:val="24"/>
          <w:rtl w:val="0"/>
        </w:rPr>
        <w:t xml:space="preserve">Next Steps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sz w:val="22"/>
          <w:szCs w:val="22"/>
        </w:rPr>
      </w:pPr>
      <w:r w:rsidDel="00000000" w:rsidR="00000000" w:rsidRPr="00000000">
        <w:rPr>
          <w:rFonts w:ascii="Calibri" w:cs="Calibri" w:eastAsia="Calibri" w:hAnsi="Calibri"/>
          <w:color w:val="262626"/>
          <w:sz w:val="22"/>
          <w:szCs w:val="22"/>
          <w:rtl w:val="0"/>
        </w:rPr>
        <w:t xml:space="preserve">Retention of sales representatives should be the highest priority, explore career path options to discuss with new employees and sales representatives, and gather more data on sales representatives who depart, through exit interviews or similar means.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sz w:val="22"/>
          <w:szCs w:val="22"/>
        </w:rPr>
      </w:pPr>
      <w:r w:rsidDel="00000000" w:rsidR="00000000" w:rsidRPr="00000000">
        <w:rPr>
          <w:rFonts w:ascii="Calibri" w:cs="Calibri" w:eastAsia="Calibri" w:hAnsi="Calibri"/>
          <w:color w:val="262626"/>
          <w:sz w:val="22"/>
          <w:szCs w:val="22"/>
          <w:rtl w:val="0"/>
        </w:rPr>
        <w:t xml:space="preserve">check</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w:t>
      </w:r>
      <w:r w:rsidDel="00000000" w:rsidR="00000000" w:rsidRPr="00000000">
        <w:rPr>
          <w:rFonts w:ascii="Calibri" w:cs="Calibri" w:eastAsia="Calibri" w:hAnsi="Calibri"/>
          <w:color w:val="262626"/>
          <w:sz w:val="22"/>
          <w:szCs w:val="22"/>
          <w:rtl w:val="0"/>
        </w:rPr>
        <w:t xml:space="preserve">the distribution of workload in teams which contribute a lot of overtime hours, and check the possibility of balancing workload with employees who do not contribute overtime hours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sz w:val="22"/>
          <w:szCs w:val="22"/>
        </w:rPr>
      </w:pPr>
      <w:r w:rsidDel="00000000" w:rsidR="00000000" w:rsidRPr="00000000">
        <w:rPr>
          <w:rFonts w:ascii="Calibri" w:cs="Calibri" w:eastAsia="Calibri" w:hAnsi="Calibri"/>
          <w:color w:val="262626"/>
          <w:sz w:val="22"/>
          <w:szCs w:val="22"/>
          <w:rtl w:val="0"/>
        </w:rPr>
        <w:t xml:space="preserve">assess the travel demands of employees who frequently travel and check opportunities for reducing the need to travel for frequent travelers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Data can be explored further to produce predictive models, fields such as Job Satisfaction, education level, and work-life balance can potentially be of great use being used as predictors for predictive machine learning models.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3" w:right="0" w:hanging="259"/>
        <w:jc w:val="left"/>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The inclusion of a date of attrition and date of join fields can allow for date-based trend analysis, identifying seasonality in attrition, if it exists, and correlating events with spikes in attrition.</w:t>
      </w:r>
    </w:p>
    <w:p w:rsidR="00000000" w:rsidDel="00000000" w:rsidP="00000000" w:rsidRDefault="00000000" w:rsidRPr="00000000" w14:paraId="0000001B">
      <w:pPr>
        <w:jc w:val="left"/>
        <w:rPr/>
      </w:pPr>
      <w:r w:rsidDel="00000000" w:rsidR="00000000" w:rsidRPr="00000000">
        <w:rPr>
          <w:rtl w:val="0"/>
        </w:rPr>
      </w:r>
    </w:p>
    <w:sectPr>
      <w:footerReference r:id="rId7" w:type="default"/>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3" w:hanging="259"/>
      </w:pPr>
      <w:rPr/>
    </w:lvl>
    <w:lvl w:ilvl="1">
      <w:start w:val="1"/>
      <w:numFmt w:val="bullet"/>
      <w:lvlText w:val="–"/>
      <w:lvlJc w:val="left"/>
      <w:pPr>
        <w:ind w:left="792" w:hanging="259"/>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384EDWD5X7T+vgudMVUDjOgFA==">CgMxLjA4AHIhMXdzUkgtWWF2V3ZjbDNPYlpBemVxS2p2eDh5OE5adnE4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2026-09-09T23:29:22.134Z</dcterms:created>
  <dc:creator>Un-named</dc:creator>
</cp:coreProperties>
</file>

<file path=docProps/custom.xml><?xml version="1.0" encoding="utf-8"?>
<Properties xmlns="http://schemas.openxmlformats.org/officeDocument/2006/custom-properties" xmlns:vt="http://schemas.openxmlformats.org/officeDocument/2006/docPropsVTypes"/>
</file>