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60"/>
        <w:rPr/>
      </w:pPr>
      <w:r>
        <w:rPr>
          <w:b/>
          <w:bCs/>
        </w:rPr>
        <w:t>Stations Cable Management</w:t>
      </w:r>
    </w:p>
    <w:p>
      <w:pPr>
        <w:pStyle w:val="Normal"/>
        <w:spacing w:before="0" w:after="400"/>
        <w:rPr/>
      </w:pPr>
      <w:r>
        <w:rPr>
          <w:i/>
          <w:iCs/>
          <w:color w:val="595959"/>
          <w:sz w:val="24"/>
          <w:szCs w:val="24"/>
        </w:rPr>
        <w:t>Notes du tableau et méthodologie de gestion de projet</w:t>
      </w:r>
    </w:p>
    <w:p>
      <w:pPr>
        <w:pStyle w:val="Heading1"/>
        <w:rPr/>
      </w:pPr>
      <w:r>
        <w:rPr/>
        <w:t>1. Ce qui a été présenté au tableau</w:t>
      </w:r>
    </w:p>
    <w:p>
      <w:pPr>
        <w:pStyle w:val="Heading2"/>
        <w:rPr/>
      </w:pPr>
      <w:r>
        <w:rPr/>
        <w:t>a) Les trois axes du projet</w:t>
      </w:r>
    </w:p>
    <w:p>
      <w:pPr>
        <w:pStyle w:val="ListParagraph"/>
        <w:numPr>
          <w:ilvl w:val="0"/>
          <w:numId w:val="3"/>
        </w:numPr>
        <w:spacing w:before="0" w:after="80"/>
        <w:rPr/>
      </w:pPr>
      <w:r>
        <w:rPr>
          <w:sz w:val="22"/>
          <w:szCs w:val="22"/>
        </w:rPr>
        <w:t>Fiabilisation des câbles et des équipements → objectif : réduire les risques liés aux mouvements des OPS (logique « Secure IT »).</w:t>
      </w:r>
    </w:p>
    <w:p>
      <w:pPr>
        <w:pStyle w:val="ListParagraph"/>
        <w:numPr>
          <w:ilvl w:val="0"/>
          <w:numId w:val="1"/>
        </w:numPr>
        <w:spacing w:before="0" w:after="80"/>
        <w:rPr/>
      </w:pPr>
      <w:r>
        <w:rPr>
          <w:sz w:val="22"/>
          <w:szCs w:val="22"/>
        </w:rPr>
        <w:t>Life Cycle Thin Clients → gestion du cycle de vie des postes clients légers.</w:t>
      </w:r>
    </w:p>
    <w:p>
      <w:pPr>
        <w:pStyle w:val="ListParagraph"/>
        <w:numPr>
          <w:ilvl w:val="0"/>
          <w:numId w:val="1"/>
        </w:numPr>
        <w:spacing w:before="0" w:after="80"/>
        <w:rPr/>
      </w:pPr>
      <w:r>
        <w:rPr>
          <w:sz w:val="22"/>
          <w:szCs w:val="22"/>
        </w:rPr>
        <w:t>Génération → suivi des générations / modèles de thin clients dans le temps.</w:t>
      </w:r>
    </w:p>
    <w:p>
      <w:pPr>
        <w:pStyle w:val="Heading2"/>
        <w:spacing w:before="200" w:after="120"/>
        <w:rPr/>
      </w:pPr>
      <w:r>
        <w:rPr/>
        <w:t>b) L'audit du parc</w:t>
      </w:r>
    </w:p>
    <w:p>
      <w:pPr>
        <w:pStyle w:val="ListParagraph"/>
        <w:numPr>
          <w:ilvl w:val="0"/>
          <w:numId w:val="1"/>
        </w:numPr>
        <w:spacing w:before="0" w:after="80"/>
        <w:rPr/>
      </w:pPr>
      <w:r>
        <w:rPr>
          <w:sz w:val="22"/>
          <w:szCs w:val="22"/>
        </w:rPr>
        <w:t>Nombre de stations à recenser.</w:t>
      </w:r>
    </w:p>
    <w:p>
      <w:pPr>
        <w:pStyle w:val="ListParagraph"/>
        <w:numPr>
          <w:ilvl w:val="0"/>
          <w:numId w:val="1"/>
        </w:numPr>
        <w:spacing w:before="0" w:after="80"/>
        <w:rPr/>
      </w:pPr>
      <w:r>
        <w:rPr>
          <w:sz w:val="22"/>
          <w:szCs w:val="22"/>
        </w:rPr>
        <w:t>Modèles concernés : TC 630/640, en évolution vers le modèle 655.</w:t>
      </w:r>
    </w:p>
    <w:p>
      <w:pPr>
        <w:pStyle w:val="ListParagraph"/>
        <w:numPr>
          <w:ilvl w:val="0"/>
          <w:numId w:val="1"/>
        </w:numPr>
        <w:spacing w:before="0" w:after="80"/>
        <w:rPr/>
      </w:pPr>
      <w:r>
        <w:rPr>
          <w:sz w:val="22"/>
          <w:szCs w:val="22"/>
        </w:rPr>
        <w:t>Détail des équipements par type : ZT4M/4Io, ZD, GX.</w:t>
      </w:r>
    </w:p>
    <w:p>
      <w:pPr>
        <w:pStyle w:val="ListParagraph"/>
        <w:numPr>
          <w:ilvl w:val="0"/>
          <w:numId w:val="1"/>
        </w:numPr>
        <w:spacing w:before="0" w:after="80"/>
        <w:rPr/>
      </w:pPr>
      <w:r>
        <w:rPr>
          <w:sz w:val="22"/>
          <w:szCs w:val="22"/>
        </w:rPr>
        <w:t>Un tableau de comptage par modèle est associé à l'audit (les quantités exactes sont partiellement illisibles sur la photo — à reconfirmer avec le manager).</w:t>
      </w:r>
    </w:p>
    <w:p>
      <w:pPr>
        <w:pStyle w:val="Heading2"/>
        <w:spacing w:before="200" w:after="120"/>
        <w:rPr/>
      </w:pPr>
      <w:r>
        <w:rPr/>
        <w:t>c) Le cycle de gestion de projet expliqué par le manager</w:t>
      </w:r>
    </w:p>
    <w:p>
      <w:pPr>
        <w:pStyle w:val="Normal"/>
        <w:spacing w:before="0" w:after="160"/>
        <w:rPr/>
      </w:pPr>
      <w:r>
        <w:rPr>
          <w:sz w:val="22"/>
          <w:szCs w:val="22"/>
        </w:rPr>
        <w:t>Le manager a ensuite détaillé la méthode à suivre pour mener ce type de projet, présentée comme un enchaînement logique :</w:t>
      </w:r>
    </w:p>
    <w:p>
      <w:pPr>
        <w:pStyle w:val="Normal"/>
        <w:spacing w:before="0" w:after="240"/>
        <w:jc w:val="center"/>
        <w:rPr/>
      </w:pPr>
      <w:r>
        <w:rPr>
          <w:b/>
          <w:bCs/>
          <w:color w:val="9C2B2B"/>
          <w:sz w:val="22"/>
          <w:szCs w:val="22"/>
        </w:rPr>
        <w:t>Audit  →  Check stock  →  Planifier  →  Benchmark  →  (retour possible vers Audit)  →  Réalisation</w:t>
      </w:r>
    </w:p>
    <w:tbl>
      <w:tblPr>
        <w:tblW w:w="9350" w:type="dxa"/>
        <w:jc w:val="left"/>
        <w:tblInd w:w="0" w:type="dxa"/>
        <w:tblLayout w:type="fixed"/>
        <w:tblCellMar>
          <w:top w:w="100" w:type="dxa"/>
          <w:left w:w="120" w:type="dxa"/>
          <w:bottom w:w="100" w:type="dxa"/>
          <w:right w:w="120" w:type="dxa"/>
        </w:tblCellMar>
      </w:tblPr>
      <w:tblGrid>
        <w:gridCol w:w="1999"/>
        <w:gridCol w:w="7350"/>
      </w:tblGrid>
      <w:tr>
        <w:trPr>
          <w:tblHeader w:val="true"/>
        </w:trPr>
        <w:tc>
          <w:tcPr>
            <w:tcW w:w="1999" w:type="dxa"/>
            <w:tcBorders>
              <w:top w:val="single" w:sz="4" w:space="0" w:color="000000"/>
              <w:left w:val="single" w:sz="4" w:space="0" w:color="000000"/>
              <w:bottom w:val="single" w:sz="4" w:space="0" w:color="000000"/>
              <w:right w:val="single" w:sz="4" w:space="0" w:color="000000"/>
            </w:tcBorders>
            <w:shd w:fill="9C2B2B" w:val="clear"/>
          </w:tcPr>
          <w:p>
            <w:pPr>
              <w:pStyle w:val="Normal"/>
              <w:rPr/>
            </w:pPr>
            <w:r>
              <w:rPr>
                <w:b/>
                <w:bCs/>
                <w:color w:val="FFFFFF"/>
                <w:sz w:val="21"/>
                <w:szCs w:val="21"/>
              </w:rPr>
              <w:t>Étape</w:t>
            </w:r>
          </w:p>
        </w:tc>
        <w:tc>
          <w:tcPr>
            <w:tcW w:w="7350" w:type="dxa"/>
            <w:tcBorders>
              <w:top w:val="single" w:sz="4" w:space="0" w:color="000000"/>
              <w:left w:val="single" w:sz="4" w:space="0" w:color="000000"/>
              <w:bottom w:val="single" w:sz="4" w:space="0" w:color="000000"/>
              <w:right w:val="single" w:sz="4" w:space="0" w:color="000000"/>
            </w:tcBorders>
            <w:shd w:fill="9C2B2B" w:val="clear"/>
          </w:tcPr>
          <w:p>
            <w:pPr>
              <w:pStyle w:val="Normal"/>
              <w:rPr/>
            </w:pPr>
            <w:r>
              <w:rPr>
                <w:b/>
                <w:bCs/>
                <w:color w:val="FFFFFF"/>
                <w:sz w:val="21"/>
                <w:szCs w:val="21"/>
              </w:rPr>
              <w:t>Détail</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Audit</w:t>
            </w:r>
          </w:p>
        </w:tc>
        <w:tc>
          <w:tcPr>
            <w:tcW w:w="735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Nombre de stations, détail des modèles et des équipements.</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Check stock</w:t>
            </w:r>
          </w:p>
        </w:tc>
        <w:tc>
          <w:tcPr>
            <w:tcW w:w="735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Vérifier la disponibilité du matériel ; commander si nécessaire.</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Planifier</w:t>
            </w:r>
          </w:p>
        </w:tc>
        <w:tc>
          <w:tcPr>
            <w:tcW w:w="735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Identifier les blocages (ex. manque de stock), l'impact sur les OPS, les ressources nécessaires.</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Benchmark</w:t>
            </w:r>
          </w:p>
        </w:tc>
        <w:tc>
          <w:tcPr>
            <w:tcW w:w="735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Estimer la charge de travail et les délais nécessaires.</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Réalisation</w:t>
            </w:r>
          </w:p>
        </w:tc>
        <w:tc>
          <w:tcPr>
            <w:tcW w:w="735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Préparation des outils/équipements, exécution des tâches, recette/tests, puis suivi (liste + statistiques).</w:t>
            </w:r>
          </w:p>
        </w:tc>
      </w:tr>
    </w:tbl>
    <w:p>
      <w:pPr>
        <w:pStyle w:val="Normal"/>
        <w:spacing w:before="200" w:after="300"/>
        <w:rPr/>
      </w:pPr>
      <w:r>
        <w:rPr>
          <w:i/>
          <w:iCs/>
          <w:color w:val="595959"/>
          <w:sz w:val="20"/>
          <w:szCs w:val="20"/>
        </w:rPr>
        <w:t>Note : la flèche qui revient de « Benchmark » vers « Audit » indique qu'on peut réaffiner l'audit si l'estimation révèle un écart, avant de lancer la réalisation.</w:t>
      </w:r>
    </w:p>
    <w:p>
      <w:pPr>
        <w:pStyle w:val="Heading1"/>
        <w:spacing w:before="300" w:after="120"/>
        <w:rPr/>
      </w:pPr>
      <w:r>
        <w:rPr/>
        <w:t>2. Plan-type pour ce genre de projet</w:t>
      </w:r>
    </w:p>
    <w:p>
      <w:pPr>
        <w:pStyle w:val="Normal"/>
        <w:spacing w:before="0" w:after="160"/>
        <w:rPr/>
      </w:pPr>
      <w:r>
        <w:rPr>
          <w:sz w:val="22"/>
          <w:szCs w:val="22"/>
        </w:rPr>
        <w:t>Ce squelette reprend la logique du manager (audit avant tout, ressources vérifiées avant de s'engager, planification avant l'action, suivi structuré à la fin), en y ajoutant deux étapes de bonne pratique standard (cadrage en amont, bilan en aval).</w:t>
      </w:r>
    </w:p>
    <w:tbl>
      <w:tblPr>
        <w:tblW w:w="9350" w:type="dxa"/>
        <w:jc w:val="left"/>
        <w:tblInd w:w="0" w:type="dxa"/>
        <w:tblLayout w:type="fixed"/>
        <w:tblCellMar>
          <w:top w:w="100" w:type="dxa"/>
          <w:left w:w="120" w:type="dxa"/>
          <w:bottom w:w="100" w:type="dxa"/>
          <w:right w:w="120" w:type="dxa"/>
        </w:tblCellMar>
      </w:tblPr>
      <w:tblGrid>
        <w:gridCol w:w="1999"/>
        <w:gridCol w:w="3200"/>
        <w:gridCol w:w="4151"/>
      </w:tblGrid>
      <w:tr>
        <w:trPr>
          <w:tblHeader w:val="true"/>
        </w:trPr>
        <w:tc>
          <w:tcPr>
            <w:tcW w:w="1999" w:type="dxa"/>
            <w:tcBorders>
              <w:top w:val="single" w:sz="4" w:space="0" w:color="000000"/>
              <w:left w:val="single" w:sz="4" w:space="0" w:color="000000"/>
              <w:bottom w:val="single" w:sz="4" w:space="0" w:color="000000"/>
              <w:right w:val="single" w:sz="4" w:space="0" w:color="000000"/>
            </w:tcBorders>
            <w:shd w:fill="9C2B2B" w:val="clear"/>
          </w:tcPr>
          <w:p>
            <w:pPr>
              <w:pStyle w:val="Normal"/>
              <w:rPr/>
            </w:pPr>
            <w:r>
              <w:rPr>
                <w:b/>
                <w:bCs/>
                <w:color w:val="FFFFFF"/>
                <w:sz w:val="21"/>
                <w:szCs w:val="21"/>
              </w:rPr>
              <w:t>Étape</w:t>
            </w:r>
          </w:p>
        </w:tc>
        <w:tc>
          <w:tcPr>
            <w:tcW w:w="3200" w:type="dxa"/>
            <w:tcBorders>
              <w:top w:val="single" w:sz="4" w:space="0" w:color="000000"/>
              <w:left w:val="single" w:sz="4" w:space="0" w:color="000000"/>
              <w:bottom w:val="single" w:sz="4" w:space="0" w:color="000000"/>
              <w:right w:val="single" w:sz="4" w:space="0" w:color="000000"/>
            </w:tcBorders>
            <w:shd w:fill="9C2B2B" w:val="clear"/>
          </w:tcPr>
          <w:p>
            <w:pPr>
              <w:pStyle w:val="Normal"/>
              <w:rPr/>
            </w:pPr>
            <w:r>
              <w:rPr>
                <w:b/>
                <w:bCs/>
                <w:color w:val="FFFFFF"/>
                <w:sz w:val="21"/>
                <w:szCs w:val="21"/>
              </w:rPr>
              <w:t>Objectif</w:t>
            </w:r>
          </w:p>
        </w:tc>
        <w:tc>
          <w:tcPr>
            <w:tcW w:w="4151" w:type="dxa"/>
            <w:tcBorders>
              <w:top w:val="single" w:sz="4" w:space="0" w:color="000000"/>
              <w:left w:val="single" w:sz="4" w:space="0" w:color="000000"/>
              <w:bottom w:val="single" w:sz="4" w:space="0" w:color="000000"/>
              <w:right w:val="single" w:sz="4" w:space="0" w:color="000000"/>
            </w:tcBorders>
            <w:shd w:fill="9C2B2B" w:val="clear"/>
          </w:tcPr>
          <w:p>
            <w:pPr>
              <w:pStyle w:val="Normal"/>
              <w:rPr/>
            </w:pPr>
            <w:r>
              <w:rPr>
                <w:b/>
                <w:bCs/>
                <w:color w:val="FFFFFF"/>
                <w:sz w:val="21"/>
                <w:szCs w:val="21"/>
              </w:rPr>
              <w:t>Actions clés</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0. Cadrage</w:t>
            </w:r>
          </w:p>
        </w:tc>
        <w:tc>
          <w:tcPr>
            <w:tcW w:w="320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Poser le pourquoi et le périmètre du projet</w:t>
            </w:r>
          </w:p>
        </w:tc>
        <w:tc>
          <w:tcPr>
            <w:tcW w:w="4151"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Formuler le problème/risque adressé ; délimiter le périmètre (sites, équipements concernés).</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1. Audit</w:t>
            </w:r>
          </w:p>
        </w:tc>
        <w:tc>
          <w:tcPr>
            <w:tcW w:w="320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Faire l'état des lieux</w:t>
            </w:r>
          </w:p>
        </w:tc>
        <w:tc>
          <w:tcPr>
            <w:tcW w:w="4151"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Recenser l'existant (quantités, modèles, état) ; identifier l'écart avec la cible.</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2. Check stock</w:t>
            </w:r>
          </w:p>
        </w:tc>
        <w:tc>
          <w:tcPr>
            <w:tcW w:w="320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Vérifier les ressources disponibles</w:t>
            </w:r>
          </w:p>
        </w:tc>
        <w:tc>
          <w:tcPr>
            <w:tcW w:w="4151"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Contrôler le matériel en stock ; commander en anticipant les délais fournisseurs.</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3. Planifier</w:t>
            </w:r>
          </w:p>
        </w:tc>
        <w:tc>
          <w:tcPr>
            <w:tcW w:w="320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Sécuriser l'exécution à venir</w:t>
            </w:r>
          </w:p>
        </w:tc>
        <w:tc>
          <w:tcPr>
            <w:tcW w:w="4151"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Lister les blocages potentiels, l'impact sur les opérations, les ressources humaines/techniques ; désigner un responsable et une échéance par tâche.</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4. Benchmark</w:t>
            </w:r>
          </w:p>
        </w:tc>
        <w:tc>
          <w:tcPr>
            <w:tcW w:w="320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Chiffrer l'effort</w:t>
            </w:r>
          </w:p>
        </w:tc>
        <w:tc>
          <w:tcPr>
            <w:tcW w:w="4151"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Estimer charge et délais, si possible par comparaison avec des projets similaires ; prévoir une marge.</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5. Réalisation</w:t>
            </w:r>
          </w:p>
        </w:tc>
        <w:tc>
          <w:tcPr>
            <w:tcW w:w="320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Exécuter et contrôler</w:t>
            </w:r>
          </w:p>
        </w:tc>
        <w:tc>
          <w:tcPr>
            <w:tcW w:w="4151"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Préparer les outils, exécuter, tester/recetter, suivre via une liste et des indicateurs chiffrés.</w:t>
            </w:r>
          </w:p>
        </w:tc>
      </w:tr>
      <w:tr>
        <w:trPr/>
        <w:tc>
          <w:tcPr>
            <w:tcW w:w="1999"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bCs/>
                <w:color w:val="000000"/>
                <w:sz w:val="21"/>
                <w:szCs w:val="21"/>
              </w:rPr>
              <w:t>6. Bilan</w:t>
            </w:r>
          </w:p>
        </w:tc>
        <w:tc>
          <w:tcPr>
            <w:tcW w:w="3200"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Capitaliser pour le prochain cycle</w:t>
            </w:r>
          </w:p>
        </w:tc>
        <w:tc>
          <w:tcPr>
            <w:tcW w:w="4151" w:type="dxa"/>
            <w:tcBorders>
              <w:top w:val="single" w:sz="4" w:space="0" w:color="000000"/>
              <w:left w:val="single" w:sz="4" w:space="0" w:color="000000"/>
              <w:bottom w:val="single" w:sz="4" w:space="0" w:color="000000"/>
              <w:right w:val="single" w:sz="4" w:space="0" w:color="000000"/>
            </w:tcBorders>
            <w:shd w:fill="F7F2F2" w:val="clear"/>
          </w:tcPr>
          <w:p>
            <w:pPr>
              <w:pStyle w:val="Normal"/>
              <w:rPr/>
            </w:pPr>
            <w:r>
              <w:rPr>
                <w:b w:val="false"/>
                <w:bCs w:val="false"/>
                <w:color w:val="000000"/>
                <w:sz w:val="21"/>
                <w:szCs w:val="21"/>
              </w:rPr>
              <w:t>Retour d'expérience : ce qui a bien/mal fonctionné, ajustements à reprendre au prochain projet.</w:t>
            </w:r>
          </w:p>
        </w:tc>
      </w:tr>
    </w:tbl>
    <w:p>
      <w:pPr>
        <w:pStyle w:val="Normal"/>
        <w:spacing w:before="240" w:after="0"/>
        <w:rPr/>
      </w:pPr>
      <w:r>
        <w:rPr>
          <w:i/>
          <w:iCs/>
          <w:color w:val="595959"/>
          <w:sz w:val="20"/>
          <w:szCs w:val="20"/>
        </w:rPr>
        <w:t>Astuce : si l'écart entre l'audit et l'estimation (étape 4) est trop important, on reboucle sur l'audit pour affiner avant de lancer la réalisation — c'est exactement la boucle dessinée par le manager au tableau.</w:t>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Normal"/>
        <w:spacing w:before="240" w:after="0"/>
        <w:rPr>
          <w:i/>
          <w:i/>
          <w:iCs/>
          <w:color w:val="595959"/>
          <w:sz w:val="20"/>
          <w:szCs w:val="20"/>
        </w:rPr>
      </w:pPr>
      <w:r>
        <w:rPr/>
      </w:r>
    </w:p>
    <w:p>
      <w:pPr>
        <w:pStyle w:val="BodyText"/>
        <w:spacing w:before="240" w:after="0"/>
        <w:rPr/>
      </w:pPr>
      <w:r>
        <w:rPr>
          <w:i/>
          <w:iCs/>
          <w:color w:val="595959"/>
          <w:sz w:val="20"/>
          <w:szCs w:val="20"/>
        </w:rPr>
        <w:t>T</w:t>
      </w:r>
      <w:r>
        <w:rPr>
          <w:i/>
          <w:iCs/>
          <w:color w:val="595959"/>
          <w:sz w:val="20"/>
          <w:szCs w:val="20"/>
        </w:rPr>
        <w:t>ableau comparatif des grandes façons de gérer un projet — celles que j'ai citées plus tôt, et quelques autres références bien connues, pour avoir une vue d'ensemble.</w:t>
      </w:r>
    </w:p>
    <w:tbl>
      <w:tblPr>
        <w:tblW w:w="9706" w:type="dxa"/>
        <w:jc w:val="left"/>
        <w:tblInd w:w="0" w:type="dxa"/>
        <w:tblLayout w:type="fixed"/>
        <w:tblCellMar>
          <w:top w:w="28" w:type="dxa"/>
          <w:left w:w="28" w:type="dxa"/>
          <w:bottom w:w="28" w:type="dxa"/>
          <w:right w:w="28" w:type="dxa"/>
        </w:tblCellMar>
      </w:tblPr>
      <w:tblGrid>
        <w:gridCol w:w="1603"/>
        <w:gridCol w:w="2481"/>
        <w:gridCol w:w="5622"/>
      </w:tblGrid>
      <w:tr>
        <w:trPr>
          <w:tblHeader w:val="true"/>
        </w:trPr>
        <w:tc>
          <w:tcPr>
            <w:tcW w:w="1603" w:type="dxa"/>
            <w:tcBorders/>
            <w:vAlign w:val="center"/>
          </w:tcPr>
          <w:p>
            <w:pPr>
              <w:pStyle w:val="Titredetableau"/>
              <w:rPr/>
            </w:pPr>
            <w:r>
              <w:rPr/>
              <w:t>Méthode</w:t>
            </w:r>
          </w:p>
        </w:tc>
        <w:tc>
          <w:tcPr>
            <w:tcW w:w="2481" w:type="dxa"/>
            <w:tcBorders/>
            <w:vAlign w:val="center"/>
          </w:tcPr>
          <w:p>
            <w:pPr>
              <w:pStyle w:val="Titredetableau"/>
              <w:rPr/>
            </w:pPr>
            <w:r>
              <w:rPr/>
              <w:t>Nom complet (anglais)</w:t>
            </w:r>
          </w:p>
        </w:tc>
        <w:tc>
          <w:tcPr>
            <w:tcW w:w="5622" w:type="dxa"/>
            <w:tcBorders/>
            <w:vAlign w:val="center"/>
          </w:tcPr>
          <w:p>
            <w:pPr>
              <w:pStyle w:val="Titredetableau"/>
              <w:rPr/>
            </w:pPr>
            <w:r>
              <w:rPr/>
              <w:t>Explication (français)</w:t>
            </w:r>
          </w:p>
        </w:tc>
      </w:tr>
      <w:tr>
        <w:trPr/>
        <w:tc>
          <w:tcPr>
            <w:tcW w:w="1603" w:type="dxa"/>
            <w:tcBorders/>
            <w:vAlign w:val="center"/>
          </w:tcPr>
          <w:p>
            <w:pPr>
              <w:pStyle w:val="Contenudetableau"/>
              <w:rPr/>
            </w:pPr>
            <w:r>
              <w:rPr>
                <w:rStyle w:val="Strong"/>
              </w:rPr>
              <w:t>PMBOK / PMI</w:t>
            </w:r>
          </w:p>
        </w:tc>
        <w:tc>
          <w:tcPr>
            <w:tcW w:w="2481" w:type="dxa"/>
            <w:tcBorders/>
            <w:vAlign w:val="center"/>
          </w:tcPr>
          <w:p>
            <w:pPr>
              <w:pStyle w:val="Contenudetableau"/>
              <w:rPr/>
            </w:pPr>
            <w:r>
              <w:rPr>
                <w:rStyle w:val="Emphasis"/>
              </w:rPr>
              <w:t>Project Management Body of Knowledge</w:t>
            </w:r>
            <w:r>
              <w:rPr/>
              <w:t xml:space="preserve"> (Project Management Institute)</w:t>
            </w:r>
          </w:p>
        </w:tc>
        <w:tc>
          <w:tcPr>
            <w:tcW w:w="5622" w:type="dxa"/>
            <w:tcBorders/>
            <w:vAlign w:val="center"/>
          </w:tcPr>
          <w:p>
            <w:pPr>
              <w:pStyle w:val="Contenudetableau"/>
              <w:rPr/>
            </w:pPr>
            <w:r>
              <w:rPr/>
              <w:t>Référentiel américain, base de la certification PMP. Découpe tout projet en 5 grandes phases : cadrage, planification, exécution, suivi/contrôle, clôture.</w:t>
            </w:r>
          </w:p>
        </w:tc>
      </w:tr>
      <w:tr>
        <w:trPr/>
        <w:tc>
          <w:tcPr>
            <w:tcW w:w="1603" w:type="dxa"/>
            <w:tcBorders/>
            <w:vAlign w:val="center"/>
          </w:tcPr>
          <w:p>
            <w:pPr>
              <w:pStyle w:val="Contenudetableau"/>
              <w:rPr/>
            </w:pPr>
            <w:r>
              <w:rPr>
                <w:rStyle w:val="Strong"/>
              </w:rPr>
              <w:t>PDCA (roue de Deming)</w:t>
            </w:r>
          </w:p>
        </w:tc>
        <w:tc>
          <w:tcPr>
            <w:tcW w:w="2481" w:type="dxa"/>
            <w:tcBorders/>
            <w:vAlign w:val="center"/>
          </w:tcPr>
          <w:p>
            <w:pPr>
              <w:pStyle w:val="Contenudetableau"/>
              <w:rPr/>
            </w:pPr>
            <w:r>
              <w:rPr>
                <w:rStyle w:val="Emphasis"/>
              </w:rPr>
              <w:t>Plan – Do – Check – Act</w:t>
            </w:r>
          </w:p>
        </w:tc>
        <w:tc>
          <w:tcPr>
            <w:tcW w:w="5622" w:type="dxa"/>
            <w:tcBorders/>
            <w:vAlign w:val="center"/>
          </w:tcPr>
          <w:p>
            <w:pPr>
              <w:pStyle w:val="Contenudetableau"/>
              <w:rPr/>
            </w:pPr>
            <w:r>
              <w:rPr/>
              <w:t>Cycle d'amélioration continue en 4 étapes, qu'on répète en boucle. C'est le principe derrière la flèche "Benchmark → retour Audit" de votre manager.</w:t>
            </w:r>
          </w:p>
        </w:tc>
      </w:tr>
      <w:tr>
        <w:trPr/>
        <w:tc>
          <w:tcPr>
            <w:tcW w:w="1603" w:type="dxa"/>
            <w:tcBorders/>
            <w:vAlign w:val="center"/>
          </w:tcPr>
          <w:p>
            <w:pPr>
              <w:pStyle w:val="Contenudetableau"/>
              <w:rPr/>
            </w:pPr>
            <w:r>
              <w:rPr>
                <w:rStyle w:val="Strong"/>
              </w:rPr>
              <w:t>Waterfall</w:t>
            </w:r>
          </w:p>
        </w:tc>
        <w:tc>
          <w:tcPr>
            <w:tcW w:w="2481" w:type="dxa"/>
            <w:tcBorders/>
            <w:vAlign w:val="center"/>
          </w:tcPr>
          <w:p>
            <w:pPr>
              <w:pStyle w:val="Contenudetableau"/>
              <w:rPr/>
            </w:pPr>
            <w:r>
              <w:rPr>
                <w:rStyle w:val="Emphasis"/>
              </w:rPr>
              <w:t>Waterfall (Sequential) Model</w:t>
            </w:r>
          </w:p>
        </w:tc>
        <w:tc>
          <w:tcPr>
            <w:tcW w:w="5622" w:type="dxa"/>
            <w:tcBorders/>
            <w:vAlign w:val="center"/>
          </w:tcPr>
          <w:p>
            <w:pPr>
              <w:pStyle w:val="Contenudetableau"/>
              <w:rPr/>
            </w:pPr>
            <w:r>
              <w:rPr/>
              <w:t>Méthode séquentielle "en cascade" : chaque étape démarre seulement quand la précédente est terminée. Peu de retours en arrière, adapté aux projets bien cadrés dès le départ.</w:t>
            </w:r>
          </w:p>
        </w:tc>
      </w:tr>
      <w:tr>
        <w:trPr/>
        <w:tc>
          <w:tcPr>
            <w:tcW w:w="1603" w:type="dxa"/>
            <w:tcBorders/>
            <w:vAlign w:val="center"/>
          </w:tcPr>
          <w:p>
            <w:pPr>
              <w:pStyle w:val="Contenudetableau"/>
              <w:rPr/>
            </w:pPr>
            <w:r>
              <w:rPr>
                <w:rStyle w:val="Strong"/>
              </w:rPr>
              <w:t>Agile</w:t>
            </w:r>
          </w:p>
        </w:tc>
        <w:tc>
          <w:tcPr>
            <w:tcW w:w="2481" w:type="dxa"/>
            <w:tcBorders/>
            <w:vAlign w:val="center"/>
          </w:tcPr>
          <w:p>
            <w:pPr>
              <w:pStyle w:val="Contenudetableau"/>
              <w:rPr/>
            </w:pPr>
            <w:r>
              <w:rPr>
                <w:rStyle w:val="Emphasis"/>
              </w:rPr>
              <w:t>Agile Project Management</w:t>
            </w:r>
          </w:p>
        </w:tc>
        <w:tc>
          <w:tcPr>
            <w:tcW w:w="5622" w:type="dxa"/>
            <w:tcBorders/>
            <w:vAlign w:val="center"/>
          </w:tcPr>
          <w:p>
            <w:pPr>
              <w:pStyle w:val="Contenudetableau"/>
              <w:rPr/>
            </w:pPr>
            <w:r>
              <w:rPr/>
              <w:t>Approche itérative : on avance par cycles courts, on ajuste le projet au fur et à mesure selon les retours, plutôt que de tout figer au départ.</w:t>
            </w:r>
          </w:p>
        </w:tc>
      </w:tr>
      <w:tr>
        <w:trPr/>
        <w:tc>
          <w:tcPr>
            <w:tcW w:w="1603" w:type="dxa"/>
            <w:tcBorders/>
            <w:vAlign w:val="center"/>
          </w:tcPr>
          <w:p>
            <w:pPr>
              <w:pStyle w:val="Contenudetableau"/>
              <w:rPr/>
            </w:pPr>
            <w:r>
              <w:rPr>
                <w:rStyle w:val="Strong"/>
              </w:rPr>
              <w:t>Scrum</w:t>
            </w:r>
          </w:p>
        </w:tc>
        <w:tc>
          <w:tcPr>
            <w:tcW w:w="2481" w:type="dxa"/>
            <w:tcBorders/>
            <w:vAlign w:val="center"/>
          </w:tcPr>
          <w:p>
            <w:pPr>
              <w:pStyle w:val="Contenudetableau"/>
              <w:rPr/>
            </w:pPr>
            <w:r>
              <w:rPr>
                <w:rStyle w:val="Emphasis"/>
              </w:rPr>
              <w:t>Scrum Framework</w:t>
            </w:r>
          </w:p>
        </w:tc>
        <w:tc>
          <w:tcPr>
            <w:tcW w:w="5622" w:type="dxa"/>
            <w:tcBorders/>
            <w:vAlign w:val="center"/>
          </w:tcPr>
          <w:p>
            <w:pPr>
              <w:pStyle w:val="Contenudetableau"/>
              <w:rPr/>
            </w:pPr>
            <w:r>
              <w:rPr/>
              <w:t>Cadre Agile précis : sprints de 2 à 4 semaines, rôles définis (Product Owner, Scrum Master, équipe), rituels réguliers (daily, revue de sprint...).</w:t>
            </w:r>
          </w:p>
        </w:tc>
      </w:tr>
      <w:tr>
        <w:trPr/>
        <w:tc>
          <w:tcPr>
            <w:tcW w:w="1603" w:type="dxa"/>
            <w:tcBorders/>
            <w:vAlign w:val="center"/>
          </w:tcPr>
          <w:p>
            <w:pPr>
              <w:pStyle w:val="Contenudetableau"/>
              <w:rPr/>
            </w:pPr>
            <w:r>
              <w:rPr>
                <w:rStyle w:val="Strong"/>
              </w:rPr>
              <w:t>Kanban</w:t>
            </w:r>
          </w:p>
        </w:tc>
        <w:tc>
          <w:tcPr>
            <w:tcW w:w="2481" w:type="dxa"/>
            <w:tcBorders/>
            <w:vAlign w:val="center"/>
          </w:tcPr>
          <w:p>
            <w:pPr>
              <w:pStyle w:val="Contenudetableau"/>
              <w:rPr/>
            </w:pPr>
            <w:r>
              <w:rPr>
                <w:rStyle w:val="Emphasis"/>
              </w:rPr>
              <w:t>Kanban Method</w:t>
            </w:r>
          </w:p>
        </w:tc>
        <w:tc>
          <w:tcPr>
            <w:tcW w:w="5622" w:type="dxa"/>
            <w:tcBorders/>
            <w:vAlign w:val="center"/>
          </w:tcPr>
          <w:p>
            <w:pPr>
              <w:pStyle w:val="Contenudetableau"/>
              <w:rPr/>
            </w:pPr>
            <w:r>
              <w:rPr/>
              <w:t>Méthode visuelle de gestion de flux : un tableau à colonnes ("à faire / en cours / terminé"), sans sprints fixes, avec une limite du travail en cours.</w:t>
            </w:r>
          </w:p>
        </w:tc>
      </w:tr>
      <w:tr>
        <w:trPr/>
        <w:tc>
          <w:tcPr>
            <w:tcW w:w="1603" w:type="dxa"/>
            <w:tcBorders/>
            <w:vAlign w:val="center"/>
          </w:tcPr>
          <w:p>
            <w:pPr>
              <w:pStyle w:val="Contenudetableau"/>
              <w:rPr/>
            </w:pPr>
            <w:r>
              <w:rPr>
                <w:rStyle w:val="Strong"/>
              </w:rPr>
              <w:t>PRINCE2</w:t>
            </w:r>
          </w:p>
        </w:tc>
        <w:tc>
          <w:tcPr>
            <w:tcW w:w="2481" w:type="dxa"/>
            <w:tcBorders/>
            <w:vAlign w:val="center"/>
          </w:tcPr>
          <w:p>
            <w:pPr>
              <w:pStyle w:val="Contenudetableau"/>
              <w:rPr/>
            </w:pPr>
            <w:r>
              <w:rPr>
                <w:rStyle w:val="Emphasis"/>
              </w:rPr>
              <w:t>PRojects IN Controlled Environments</w:t>
            </w:r>
          </w:p>
        </w:tc>
        <w:tc>
          <w:tcPr>
            <w:tcW w:w="5622" w:type="dxa"/>
            <w:tcBorders/>
            <w:vAlign w:val="center"/>
          </w:tcPr>
          <w:p>
            <w:pPr>
              <w:pStyle w:val="Contenudetableau"/>
              <w:rPr/>
            </w:pPr>
            <w:r>
              <w:rPr/>
              <w:t>Méthode britannique très structurée et formelle, avec forte gouvernance : comités de pilotage, documentation à chaque étape, contrôle serré.</w:t>
            </w:r>
          </w:p>
        </w:tc>
      </w:tr>
      <w:tr>
        <w:trPr/>
        <w:tc>
          <w:tcPr>
            <w:tcW w:w="1603" w:type="dxa"/>
            <w:tcBorders/>
            <w:vAlign w:val="center"/>
          </w:tcPr>
          <w:p>
            <w:pPr>
              <w:pStyle w:val="Contenudetableau"/>
              <w:rPr/>
            </w:pPr>
            <w:r>
              <w:rPr>
                <w:rStyle w:val="Strong"/>
              </w:rPr>
              <w:t>Lean Six Sigma</w:t>
            </w:r>
          </w:p>
        </w:tc>
        <w:tc>
          <w:tcPr>
            <w:tcW w:w="2481" w:type="dxa"/>
            <w:tcBorders/>
            <w:vAlign w:val="center"/>
          </w:tcPr>
          <w:p>
            <w:pPr>
              <w:pStyle w:val="Contenudetableau"/>
              <w:rPr/>
            </w:pPr>
            <w:r>
              <w:rPr>
                <w:rStyle w:val="Emphasis"/>
              </w:rPr>
              <w:t>Lean Six Sigma</w:t>
            </w:r>
          </w:p>
        </w:tc>
        <w:tc>
          <w:tcPr>
            <w:tcW w:w="5622" w:type="dxa"/>
            <w:tcBorders/>
            <w:vAlign w:val="center"/>
          </w:tcPr>
          <w:p>
            <w:pPr>
              <w:pStyle w:val="Contenudetableau"/>
              <w:rPr/>
            </w:pPr>
            <w:r>
              <w:rPr/>
              <w:t>Combine réduction du gaspillage (Lean) et réduction des erreurs/variabilité (Six Sigma). Très utilisé en amélioration de processus industriels.</w:t>
            </w:r>
          </w:p>
        </w:tc>
      </w:tr>
      <w:tr>
        <w:trPr/>
        <w:tc>
          <w:tcPr>
            <w:tcW w:w="1603" w:type="dxa"/>
            <w:tcBorders/>
            <w:vAlign w:val="center"/>
          </w:tcPr>
          <w:p>
            <w:pPr>
              <w:pStyle w:val="Contenudetableau"/>
              <w:rPr/>
            </w:pPr>
            <w:r>
              <w:rPr>
                <w:rStyle w:val="Strong"/>
              </w:rPr>
              <w:t>ITIL / ITAM</w:t>
            </w:r>
          </w:p>
        </w:tc>
        <w:tc>
          <w:tcPr>
            <w:tcW w:w="2481" w:type="dxa"/>
            <w:tcBorders/>
            <w:vAlign w:val="center"/>
          </w:tcPr>
          <w:p>
            <w:pPr>
              <w:pStyle w:val="Contenudetableau"/>
              <w:rPr/>
            </w:pPr>
            <w:r>
              <w:rPr>
                <w:rStyle w:val="Emphasis"/>
              </w:rPr>
              <w:t>IT Infrastructure Library / IT Asset Management</w:t>
            </w:r>
          </w:p>
        </w:tc>
        <w:tc>
          <w:tcPr>
            <w:tcW w:w="5622" w:type="dxa"/>
            <w:tcBorders/>
            <w:vAlign w:val="center"/>
          </w:tcPr>
          <w:p>
            <w:pPr>
              <w:pStyle w:val="Contenudetableau"/>
              <w:rPr/>
            </w:pPr>
            <w:r>
              <w:rPr/>
              <w:t>Bonnes pratiques pour gérer les services et le parc informatique : inventaire, cycle de vie du matériel, suivi des stocks. C'est le domaine le plus proche du sujet "Stations Cable Management".</w:t>
            </w:r>
          </w:p>
        </w:tc>
      </w:tr>
      <w:tr>
        <w:trPr/>
        <w:tc>
          <w:tcPr>
            <w:tcW w:w="1603" w:type="dxa"/>
            <w:tcBorders/>
            <w:vAlign w:val="center"/>
          </w:tcPr>
          <w:p>
            <w:pPr>
              <w:pStyle w:val="Contenudetableau"/>
              <w:rPr/>
            </w:pPr>
            <w:r>
              <w:rPr>
                <w:rStyle w:val="Strong"/>
              </w:rPr>
              <w:t>Méthode "maison" de votre manager</w:t>
            </w:r>
          </w:p>
        </w:tc>
        <w:tc>
          <w:tcPr>
            <w:tcW w:w="2481" w:type="dxa"/>
            <w:tcBorders/>
            <w:vAlign w:val="center"/>
          </w:tcPr>
          <w:p>
            <w:pPr>
              <w:pStyle w:val="Contenudetableau"/>
              <w:rPr/>
            </w:pPr>
            <w:r>
              <w:rPr>
                <w:rStyle w:val="Emphasis"/>
              </w:rPr>
              <w:t>Custom / ad-hoc operational method</w:t>
            </w:r>
          </w:p>
        </w:tc>
        <w:tc>
          <w:tcPr>
            <w:tcW w:w="5622" w:type="dxa"/>
            <w:tcBorders/>
            <w:vAlign w:val="center"/>
          </w:tcPr>
          <w:p>
            <w:pPr>
              <w:pStyle w:val="Contenudetableau"/>
              <w:rPr/>
            </w:pPr>
            <w:r>
              <w:rPr/>
              <w:t>Pas un nom officiel — un mélange pragmatique : structure inspirée du PMBOK (cadrage → exécution), boucle inspirée du PDCA (audit/benchmark), appliqué à un contexte de gestion de parc IT proche d'ITIL/ITAM.</w:t>
            </w:r>
          </w:p>
        </w:tc>
      </w:tr>
    </w:tbl>
    <w:p>
      <w:pPr>
        <w:pStyle w:val="BodyText"/>
        <w:rPr/>
      </w:pPr>
      <w:r>
        <w:rPr>
          <w:rStyle w:val="Strong"/>
        </w:rPr>
        <w:t>Pour résumer où se situe votre manager</w:t>
      </w:r>
      <w:r>
        <w:rPr/>
        <w:t xml:space="preserve"> : son approche n'appartient à aucune case unique — c'est une version simplifiée et terrain, qui emprunte sa structure générale au PMBOK, sa logique de boucle au PDCA, et son terrain d'application (audit de parc, cycle de vie du matériel) à l'esprit ITIL/ITAM.</w:t>
      </w:r>
    </w:p>
    <w:p>
      <w:pPr>
        <w:pStyle w:val="Normal"/>
        <w:spacing w:before="240" w:after="0"/>
        <w:rPr>
          <w:i/>
          <w:i/>
          <w:iCs/>
          <w:color w:val="595959"/>
          <w:sz w:val="20"/>
          <w:szCs w:val="20"/>
        </w:rPr>
      </w:pPr>
      <w:r>
        <w:rPr/>
      </w:r>
    </w:p>
    <w:sectPr>
      <w:type w:val="nextPage"/>
      <w:pgSz w:w="11906" w:h="16838"/>
      <w:pgMar w:left="1100" w:right="1100" w:gutter="0" w:header="0" w:top="1000" w:footer="0" w:bottom="10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fr-FR"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LibreOffice/24.2.7.2$Linux_X86_64 LibreOffice_project/420$Build-2</Application>
  <AppVersion>15.0000</AppVersion>
  <Pages>3</Pages>
  <Words>889</Words>
  <Characters>4835</Characters>
  <CharactersWithSpaces>5645</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2026-08-24T18:50:14Z</dcterms:created>
  <dc:creator>Un-named</dc:creator>
  <dc:description/>
  <dc:language>fr-FR</dc:language>
  <cp:lastModifiedBy/>
  <dcterms:modified xsi:type="dcterms:W3CDTF">2026-08-25T02:16:17Z</dcterms:modified>
  <cp:revision>2</cp:revision>
  <dc:subject/>
  <dc:title/>
</cp:coreProperties>
</file>