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rPr>
          <w:b/>
          <w:bCs/>
        </w:rPr>
        <w:t xml:space="preserve">Stations Cable Management</w:t>
      </w:r>
    </w:p>
    <w:p>
      <w:pPr>
        <w:spacing w:after="400"/>
      </w:pPr>
      <w:r>
        <w:rPr>
          <w:i/>
          <w:iCs/>
          <w:color w:val="595959"/>
          <w:sz w:val="24"/>
          <w:szCs w:val="24"/>
        </w:rPr>
        <w:t xml:space="preserve">Notes du tableau et méthodologie de gestion de projet</w:t>
      </w:r>
    </w:p>
    <w:p>
      <w:pPr>
        <w:pStyle w:val="Heading1"/>
      </w:pPr>
      <w:r>
        <w:t xml:space="preserve">1. Ce qui a été présenté au tableau</w:t>
      </w:r>
    </w:p>
    <w:p>
      <w:pPr>
        <w:pStyle w:val="Heading2"/>
      </w:pPr>
      <w:r>
        <w:t xml:space="preserve">a) Les trois axes du projet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Fiabilisation des câbles et des équipements → objectif : réduire les risques liés aux mouvements des OPS (logique « Secure IT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Life Cycle Thin Clients → gestion du cycle de vie des postes clients légers.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Génération → suivi des générations / modèles de thin clients dans le temps.</w:t>
      </w:r>
    </w:p>
    <w:p>
      <w:pPr>
        <w:pStyle w:val="Heading2"/>
        <w:spacing w:before="200"/>
      </w:pPr>
      <w:r>
        <w:t xml:space="preserve">b) L'audit du parc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Nombre de stations à recenser.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Modèles concernés : TC 630/640, en évolution vers le modèle 655.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Détail des équipements par type : ZT4M/4Io, ZD, GX.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Un tableau de comptage par modèle est associé à l'audit (les quantités exactes sont partiellement illisibles sur la photo — à reconfirmer avec le manager).</w:t>
      </w:r>
    </w:p>
    <w:p>
      <w:pPr>
        <w:pStyle w:val="Heading2"/>
        <w:spacing w:before="200"/>
      </w:pPr>
      <w:r>
        <w:t xml:space="preserve">c) Le cycle de gestion de projet expliqué par le manager</w:t>
      </w:r>
    </w:p>
    <w:p>
      <w:pPr>
        <w:spacing w:after="160"/>
      </w:pPr>
      <w:r>
        <w:rPr>
          <w:sz w:val="22"/>
          <w:szCs w:val="22"/>
        </w:rPr>
        <w:t xml:space="preserve">Le manager a ensuite détaillé la méthode à suivre pour mener ce type de projet, présentée comme un enchaînement logique :</w:t>
      </w:r>
    </w:p>
    <w:p>
      <w:pPr>
        <w:spacing w:after="240"/>
        <w:jc w:val="center"/>
      </w:pPr>
      <w:r>
        <w:rPr>
          <w:b/>
          <w:bCs/>
          <w:color w:val="9C2B2B"/>
          <w:sz w:val="22"/>
          <w:szCs w:val="22"/>
        </w:rPr>
        <w:t xml:space="preserve">Audit  →  Check stock  →  Planifier  →  Benchmark  →  (retour possible vers Audit)  →  Réalisation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50"/>
      </w:tblGrid>
      <w:tr>
        <w:trPr>
          <w:tblHeader/>
        </w:trPr>
        <w:tc>
          <w:tcPr>
            <w:tcW w:type="dxa" w:w="2000"/>
            <w:shd w:fill="9C2B2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Étape</w:t>
            </w:r>
          </w:p>
        </w:tc>
        <w:tc>
          <w:tcPr>
            <w:tcW w:type="dxa" w:w="7350"/>
            <w:shd w:fill="9C2B2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Détail</w:t>
            </w:r>
          </w:p>
        </w:tc>
      </w:tr>
      <w:tr>
        <w:tc>
          <w:tcPr>
            <w:tcW w:type="dxa" w:w="2000"/>
            <w:shd w:fill="F7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00000"/>
                <w:sz w:val="21"/>
                <w:szCs w:val="21"/>
              </w:rPr>
              <w:t xml:space="preserve">Audit</w:t>
            </w:r>
          </w:p>
        </w:tc>
        <w:tc>
          <w:tcPr>
            <w:tcW w:type="dxa" w:w="7350"/>
            <w:shd w:fill="F7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Nombre de stations, détail des modèles et des équipements.</w:t>
            </w:r>
          </w:p>
        </w:tc>
      </w:tr>
      <w:tr>
        <w:tc>
          <w:tcPr>
            <w:tcW w:type="dxa" w:w="2000"/>
            <w:shd w:fill="F7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00000"/>
                <w:sz w:val="21"/>
                <w:szCs w:val="21"/>
              </w:rPr>
              <w:t xml:space="preserve">Check stock</w:t>
            </w:r>
          </w:p>
        </w:tc>
        <w:tc>
          <w:tcPr>
            <w:tcW w:type="dxa" w:w="7350"/>
            <w:shd w:fill="F7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Vérifier la disponibilité du matériel ; commander si nécessaire.</w:t>
            </w:r>
          </w:p>
        </w:tc>
      </w:tr>
      <w:tr>
        <w:tc>
          <w:tcPr>
            <w:tcW w:type="dxa" w:w="2000"/>
            <w:shd w:fill="F7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00000"/>
                <w:sz w:val="21"/>
                <w:szCs w:val="21"/>
              </w:rPr>
              <w:t xml:space="preserve">Planifier</w:t>
            </w:r>
          </w:p>
        </w:tc>
        <w:tc>
          <w:tcPr>
            <w:tcW w:type="dxa" w:w="7350"/>
            <w:shd w:fill="F7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Identifier les blocages (ex. manque de stock), l'impact sur les OPS, les ressources nécessaires.</w:t>
            </w:r>
          </w:p>
        </w:tc>
      </w:tr>
      <w:tr>
        <w:tc>
          <w:tcPr>
            <w:tcW w:type="dxa" w:w="2000"/>
            <w:shd w:fill="F7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00000"/>
                <w:sz w:val="21"/>
                <w:szCs w:val="21"/>
              </w:rPr>
              <w:t xml:space="preserve">Benchmark</w:t>
            </w:r>
          </w:p>
        </w:tc>
        <w:tc>
          <w:tcPr>
            <w:tcW w:type="dxa" w:w="7350"/>
            <w:shd w:fill="F7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Estimer la charge de travail et les délais nécessaires.</w:t>
            </w:r>
          </w:p>
        </w:tc>
      </w:tr>
      <w:tr>
        <w:tc>
          <w:tcPr>
            <w:tcW w:type="dxa" w:w="2000"/>
            <w:shd w:fill="F7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00000"/>
                <w:sz w:val="21"/>
                <w:szCs w:val="21"/>
              </w:rPr>
              <w:t xml:space="preserve">Réalisation</w:t>
            </w:r>
          </w:p>
        </w:tc>
        <w:tc>
          <w:tcPr>
            <w:tcW w:type="dxa" w:w="7350"/>
            <w:shd w:fill="F7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Préparation des outils/équipements, exécution des tâches, recette/tests, puis suivi (liste + statistiques).</w:t>
            </w:r>
          </w:p>
        </w:tc>
      </w:tr>
    </w:tbl>
    <w:p>
      <w:pPr>
        <w:spacing w:after="300" w:before="200"/>
      </w:pPr>
      <w:r>
        <w:rPr>
          <w:i/>
          <w:iCs/>
          <w:color w:val="595959"/>
          <w:sz w:val="20"/>
          <w:szCs w:val="20"/>
        </w:rPr>
        <w:t xml:space="preserve">Note : la flèche qui revient de « Benchmark » vers « Audit » indique qu'on peut réaffiner l'audit si l'estimation révèle un écart, avant de lancer la réalisation.</w:t>
      </w:r>
    </w:p>
    <w:p>
      <w:pPr>
        <w:pStyle w:val="Heading1"/>
        <w:spacing w:before="300"/>
      </w:pPr>
      <w:r>
        <w:t xml:space="preserve">2. Plan-type pour ce genre de projet</w:t>
      </w:r>
    </w:p>
    <w:p>
      <w:pPr>
        <w:spacing w:after="160"/>
      </w:pPr>
      <w:r>
        <w:rPr>
          <w:sz w:val="22"/>
          <w:szCs w:val="22"/>
        </w:rPr>
        <w:t xml:space="preserve">Ce squelette reprend la logique du manager (audit avant tout, ressources vérifiées avant de s'engager, planification avant l'action, suivi structuré à la fin), en y ajoutant deux étapes de bonne pratique standard (cadrage en amont, bilan en aval).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200"/>
        <w:gridCol w:w="4150"/>
      </w:tblGrid>
      <w:tr>
        <w:trPr>
          <w:tblHeader/>
        </w:trPr>
        <w:tc>
          <w:tcPr>
            <w:tcW w:type="dxa" w:w="2000"/>
            <w:shd w:fill="9C2B2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Étape</w:t>
            </w:r>
          </w:p>
        </w:tc>
        <w:tc>
          <w:tcPr>
            <w:tcW w:type="dxa" w:w="3200"/>
            <w:shd w:fill="9C2B2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Objectif</w:t>
            </w:r>
          </w:p>
        </w:tc>
        <w:tc>
          <w:tcPr>
            <w:tcW w:type="dxa" w:w="4150"/>
            <w:shd w:fill="9C2B2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Actions clés</w:t>
            </w:r>
          </w:p>
        </w:tc>
      </w:tr>
      <w:tr>
        <w:tc>
          <w:tcPr>
            <w:tcW w:type="dxa" w:w="2000"/>
            <w:shd w:fill="F7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00000"/>
                <w:sz w:val="21"/>
                <w:szCs w:val="21"/>
              </w:rPr>
              <w:t xml:space="preserve">0. Cadrage</w:t>
            </w:r>
          </w:p>
        </w:tc>
        <w:tc>
          <w:tcPr>
            <w:tcW w:type="dxa" w:w="3200"/>
            <w:shd w:fill="F7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Poser le pourquoi et le périmètre du projet</w:t>
            </w:r>
          </w:p>
        </w:tc>
        <w:tc>
          <w:tcPr>
            <w:tcW w:type="dxa" w:w="4150"/>
            <w:shd w:fill="F7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Formuler le problème/risque adressé ; délimiter le périmètre (sites, équipements concernés).</w:t>
            </w:r>
          </w:p>
        </w:tc>
      </w:tr>
      <w:tr>
        <w:tc>
          <w:tcPr>
            <w:tcW w:type="dxa" w:w="2000"/>
            <w:shd w:fill="F7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00000"/>
                <w:sz w:val="21"/>
                <w:szCs w:val="21"/>
              </w:rPr>
              <w:t xml:space="preserve">1. Audit</w:t>
            </w:r>
          </w:p>
        </w:tc>
        <w:tc>
          <w:tcPr>
            <w:tcW w:type="dxa" w:w="3200"/>
            <w:shd w:fill="F7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Faire l'état des lieux</w:t>
            </w:r>
          </w:p>
        </w:tc>
        <w:tc>
          <w:tcPr>
            <w:tcW w:type="dxa" w:w="4150"/>
            <w:shd w:fill="F7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Recenser l'existant (quantités, modèles, état) ; identifier l'écart avec la cible.</w:t>
            </w:r>
          </w:p>
        </w:tc>
      </w:tr>
      <w:tr>
        <w:tc>
          <w:tcPr>
            <w:tcW w:type="dxa" w:w="2000"/>
            <w:shd w:fill="F7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00000"/>
                <w:sz w:val="21"/>
                <w:szCs w:val="21"/>
              </w:rPr>
              <w:t xml:space="preserve">2. Check stock</w:t>
            </w:r>
          </w:p>
        </w:tc>
        <w:tc>
          <w:tcPr>
            <w:tcW w:type="dxa" w:w="3200"/>
            <w:shd w:fill="F7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Vérifier les ressources disponibles</w:t>
            </w:r>
          </w:p>
        </w:tc>
        <w:tc>
          <w:tcPr>
            <w:tcW w:type="dxa" w:w="4150"/>
            <w:shd w:fill="F7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Contrôler le matériel en stock ; commander en anticipant les délais fournisseurs.</w:t>
            </w:r>
          </w:p>
        </w:tc>
      </w:tr>
      <w:tr>
        <w:tc>
          <w:tcPr>
            <w:tcW w:type="dxa" w:w="2000"/>
            <w:shd w:fill="F7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00000"/>
                <w:sz w:val="21"/>
                <w:szCs w:val="21"/>
              </w:rPr>
              <w:t xml:space="preserve">3. Planifier</w:t>
            </w:r>
          </w:p>
        </w:tc>
        <w:tc>
          <w:tcPr>
            <w:tcW w:type="dxa" w:w="3200"/>
            <w:shd w:fill="F7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Sécuriser l'exécution à venir</w:t>
            </w:r>
          </w:p>
        </w:tc>
        <w:tc>
          <w:tcPr>
            <w:tcW w:type="dxa" w:w="4150"/>
            <w:shd w:fill="F7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Lister les blocages potentiels, l'impact sur les opérations, les ressources humaines/techniques ; désigner un responsable et une échéance par tâche.</w:t>
            </w:r>
          </w:p>
        </w:tc>
      </w:tr>
      <w:tr>
        <w:tc>
          <w:tcPr>
            <w:tcW w:type="dxa" w:w="2000"/>
            <w:shd w:fill="F7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00000"/>
                <w:sz w:val="21"/>
                <w:szCs w:val="21"/>
              </w:rPr>
              <w:t xml:space="preserve">4. Benchmark</w:t>
            </w:r>
          </w:p>
        </w:tc>
        <w:tc>
          <w:tcPr>
            <w:tcW w:type="dxa" w:w="3200"/>
            <w:shd w:fill="F7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Chiffrer l'effort</w:t>
            </w:r>
          </w:p>
        </w:tc>
        <w:tc>
          <w:tcPr>
            <w:tcW w:type="dxa" w:w="4150"/>
            <w:shd w:fill="F7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Estimer charge et délais, si possible par comparaison avec des projets similaires ; prévoir une marge.</w:t>
            </w:r>
          </w:p>
        </w:tc>
      </w:tr>
      <w:tr>
        <w:tc>
          <w:tcPr>
            <w:tcW w:type="dxa" w:w="2000"/>
            <w:shd w:fill="F7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00000"/>
                <w:sz w:val="21"/>
                <w:szCs w:val="21"/>
              </w:rPr>
              <w:t xml:space="preserve">5. Réalisation</w:t>
            </w:r>
          </w:p>
        </w:tc>
        <w:tc>
          <w:tcPr>
            <w:tcW w:type="dxa" w:w="3200"/>
            <w:shd w:fill="F7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Exécuter et contrôler</w:t>
            </w:r>
          </w:p>
        </w:tc>
        <w:tc>
          <w:tcPr>
            <w:tcW w:type="dxa" w:w="4150"/>
            <w:shd w:fill="F7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Préparer les outils, exécuter, tester/recetter, suivre via une liste et des indicateurs chiffrés.</w:t>
            </w:r>
          </w:p>
        </w:tc>
      </w:tr>
      <w:tr>
        <w:tc>
          <w:tcPr>
            <w:tcW w:type="dxa" w:w="2000"/>
            <w:shd w:fill="F7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00000"/>
                <w:sz w:val="21"/>
                <w:szCs w:val="21"/>
              </w:rPr>
              <w:t xml:space="preserve">6. Bilan</w:t>
            </w:r>
          </w:p>
        </w:tc>
        <w:tc>
          <w:tcPr>
            <w:tcW w:type="dxa" w:w="3200"/>
            <w:shd w:fill="F7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Capitaliser pour le prochain cycle</w:t>
            </w:r>
          </w:p>
        </w:tc>
        <w:tc>
          <w:tcPr>
            <w:tcW w:type="dxa" w:w="4150"/>
            <w:shd w:fill="F7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Retour d'expérience : ce qui a bien/mal fonctionné, ajustements à reprendre au prochain projet.</w:t>
            </w:r>
          </w:p>
        </w:tc>
      </w:tr>
    </w:tbl>
    <w:p>
      <w:pPr>
        <w:spacing w:before="240"/>
      </w:pPr>
      <w:r>
        <w:rPr>
          <w:i/>
          <w:iCs/>
          <w:color w:val="595959"/>
          <w:sz w:val="20"/>
          <w:szCs w:val="20"/>
        </w:rPr>
        <w:t xml:space="preserve">Astuce : si l'écart entre l'audit et l'estimation (étape 4) est trop important, on reboucle sur l'audit pour affiner avant de lancer la réalisation — c'est exactement la boucle dessinée par le manager au tableau.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◦"/>
      <w:lvlJc w:val="left"/>
      <w:pPr>
        <w:ind w:left="7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2026-08-24T18:50:14.127Z</dcterms:created>
  <dcterms:modified xsi:type="dcterms:W3CDTF">2026-08-24T18:50:14.140Z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