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B1F3A"/>
            <w:tcMar>
              <w:top w:w="900" w:type="dxa"/>
              <w:bottom w:w="900" w:type="dxa"/>
              <w:left w:w="500" w:type="dxa"/>
              <w:right w:w="500" w:type="dxa"/>
            </w:tcMar>
          </w:tcPr>
          <w:p>
            <w:pPr>
              <w:jc w:val="center"/>
              <w:bidi/>
            </w:pPr>
            <w:r>
              <w:rPr>
                <w:rFonts w:ascii="Carlito" w:hAnsi="Carlito" w:cs="Amiri" w:eastAsia="Amiri"/>
                <w:b/>
                <w:i w:val="0"/>
                <w:color w:val="E8D9A0"/>
                <w:sz w:val="22"/>
              </w:rPr>
              <w:t>العدد 1  •  2026-08-24</w:t>
            </w:r>
          </w:p>
          <w:p>
            <w:pPr>
              <w:spacing w:before="280"/>
              <w:jc w:val="center"/>
              <w:bidi/>
            </w:pPr>
            <w:r>
              <w:rPr>
                <w:rFonts w:ascii="Carlito" w:hAnsi="Carlito" w:cs="Amiri" w:eastAsia="Amiri"/>
                <w:b/>
                <w:i w:val="0"/>
                <w:color w:val="FFFFFF"/>
                <w:sz w:val="52"/>
              </w:rPr>
              <w:t>النشرة الأسبوعية للحوكمة والتدقيق الداخلي</w:t>
            </w:r>
          </w:p>
          <w:p>
            <w:pPr>
              <w:spacing w:before="200"/>
              <w:jc w:val="center"/>
              <w:bidi/>
            </w:pPr>
            <w:r>
              <w:rPr>
                <w:rFonts w:ascii="Carlito" w:hAnsi="Carlito" w:cs="Amiri" w:eastAsia="Amiri"/>
                <w:b w:val="0"/>
                <w:i/>
                <w:color w:val="C9A227"/>
                <w:sz w:val="28"/>
              </w:rPr>
              <w:t>إدارة الأداء المؤسسي: تحسين الكفاءة وتحقيق الأهداف</w:t>
            </w:r>
          </w:p>
          <w:p>
            <w:pPr>
              <w:spacing w:before="320"/>
              <w:jc w:val="center"/>
              <w:pBdr>
                <w:top w:val="single" w:sz="6" w:space="1" w:color="C9A227"/>
              </w:pBdr>
            </w:pPr>
          </w:p>
          <w:p>
            <w:pPr>
              <w:spacing w:before="200"/>
              <w:jc w:val="center"/>
              <w:bidi/>
            </w:pPr>
            <w:r>
              <w:rPr>
                <w:rFonts w:ascii="Carlito" w:hAnsi="Carlito" w:cs="Amiri" w:eastAsia="Amiri"/>
                <w:b w:val="0"/>
                <w:i w:val="0"/>
                <w:color w:val="E8D9A0"/>
                <w:sz w:val="20"/>
              </w:rPr>
              <w:t>تدقيق داخلي • تدقيق أداء • حوكمة • رقابة داخلية • إدارة مخاطر • موارد بشرية • محاسبة إدارية • إصلاح القطاع العام</w:t>
            </w:r>
          </w:p>
        </w:tc>
      </w:tr>
    </w:tbl>
    <w:p/>
    <w:p>
      <w:pPr>
        <w:bidi/>
        <w:spacing w:after="80"/>
      </w:pPr>
      <w:r>
        <w:rPr>
          <w:rFonts w:ascii="Carlito" w:hAnsi="Carlito" w:cs="Amiri" w:eastAsia="Amiri"/>
          <w:b/>
          <w:i w:val="0"/>
          <w:color w:val="13294B"/>
          <w:sz w:val="26"/>
        </w:rPr>
        <w:t>كلمة التحرير</w:t>
      </w:r>
    </w:p>
    <w:p>
      <w:pPr>
        <w:bidi/>
        <w:spacing w:line="312" w:lineRule="auto"/>
      </w:pPr>
      <w:r>
        <w:rPr>
          <w:rFonts w:ascii="Carlito" w:hAnsi="Carlito" w:cs="Amiri" w:eastAsia="Amiri"/>
          <w:b w:val="0"/>
          <w:i/>
          <w:color w:val="5B6472"/>
          <w:sz w:val="23"/>
        </w:rPr>
        <w:t>في هذا العدد من النشرة الأسبوعية، نوضح كيف يمكن للشركات تحسين أدائها من خلال إدارة الأداء المؤسسي الفعالة.</w:t>
      </w:r>
    </w:p>
    <w:p>
      <w:pPr>
        <w:spacing w:after="80"/>
      </w:pPr>
    </w:p>
    <w:tbl>
      <w:tblPr>
        <w:tblW w:type="auto" w:w="0"/>
        <w:jc w:val="center"/>
        <w:tblLook w:firstColumn="1" w:firstRow="1" w:lastColumn="0" w:lastRow="0" w:noHBand="0" w:noVBand="1" w:val="04A0"/>
      </w:tblPr>
      <w:tblGrid>
        <w:gridCol w:w="3312"/>
        <w:gridCol w:w="3312"/>
        <w:gridCol w:w="3312"/>
      </w:tblGrid>
      <w:tr>
        <w:tc>
          <w:tcPr>
            <w:tcW w:type="dxa" w:w="3312"/>
            <w:shd w:fill="13294B"/>
            <w:tcMar>
              <w:top w:w="100" w:type="dxa"/>
              <w:bottom w:w="80" w:type="dxa"/>
              <w:left w:w="150" w:type="dxa"/>
              <w:right w:w="150" w:type="dxa"/>
            </w:tcMar>
          </w:tcPr>
          <w:p>
            <w:pPr>
              <w:jc w:val="center"/>
              <w:bidi/>
            </w:pPr>
            <w:r>
              <w:rPr>
                <w:rFonts w:ascii="Carlito" w:hAnsi="Carlito" w:cs="Amiri" w:eastAsia="Amiri"/>
                <w:b/>
                <w:i w:val="0"/>
                <w:color w:val="FFFFFF"/>
                <w:sz w:val="20"/>
              </w:rPr>
              <w:t>إجمالي التحديثات</w:t>
            </w:r>
          </w:p>
        </w:tc>
        <w:tc>
          <w:tcPr>
            <w:tcW w:type="dxa" w:w="3312"/>
            <w:shd w:fill="13294B"/>
            <w:tcMar>
              <w:top w:w="100" w:type="dxa"/>
              <w:bottom w:w="80" w:type="dxa"/>
              <w:left w:w="150" w:type="dxa"/>
              <w:right w:w="150" w:type="dxa"/>
            </w:tcMar>
          </w:tcPr>
          <w:p>
            <w:pPr>
              <w:jc w:val="center"/>
              <w:bidi/>
            </w:pPr>
            <w:r>
              <w:rPr>
                <w:rFonts w:ascii="Carlito" w:hAnsi="Carlito" w:cs="Amiri" w:eastAsia="Amiri"/>
                <w:b/>
                <w:i w:val="0"/>
                <w:color w:val="FFFFFF"/>
                <w:sz w:val="20"/>
              </w:rPr>
              <w:t>تحديثات عالية الأولوية</w:t>
            </w:r>
          </w:p>
        </w:tc>
        <w:tc>
          <w:tcPr>
            <w:tcW w:type="dxa" w:w="3312"/>
            <w:shd w:fill="13294B"/>
            <w:tcMar>
              <w:top w:w="100" w:type="dxa"/>
              <w:bottom w:w="80" w:type="dxa"/>
              <w:left w:w="150" w:type="dxa"/>
              <w:right w:w="150" w:type="dxa"/>
            </w:tcMar>
          </w:tcPr>
          <w:p>
            <w:pPr>
              <w:jc w:val="center"/>
              <w:bidi/>
            </w:pPr>
            <w:r>
              <w:rPr>
                <w:rFonts w:ascii="Carlito" w:hAnsi="Carlito" w:cs="Amiri" w:eastAsia="Amiri"/>
                <w:b/>
                <w:i w:val="0"/>
                <w:color w:val="FFFFFF"/>
                <w:sz w:val="20"/>
              </w:rPr>
              <w:t>المجالات المغطاة</w:t>
            </w:r>
          </w:p>
        </w:tc>
      </w:tr>
      <w:tr>
        <w:tc>
          <w:tcPr>
            <w:tcW w:type="dxa" w:w="3312"/>
            <w:shd w:fill="FBF9F4"/>
            <w:tcMar>
              <w:top w:w="140" w:type="dxa"/>
              <w:bottom w:w="140" w:type="dxa"/>
              <w:left w:w="150" w:type="dxa"/>
              <w:right w:w="150" w:type="dxa"/>
            </w:tcMar>
          </w:tcPr>
          <w:p>
            <w:pPr>
              <w:jc w:val="center"/>
            </w:pPr>
            <w:r>
              <w:rPr>
                <w:rFonts w:ascii="Carlito" w:hAnsi="Carlito" w:cs="Amiri" w:eastAsia="Amiri"/>
                <w:b/>
                <w:i w:val="0"/>
                <w:color w:val="C9A227"/>
                <w:sz w:val="36"/>
              </w:rPr>
              <w:t>5</w:t>
            </w:r>
          </w:p>
        </w:tc>
        <w:tc>
          <w:tcPr>
            <w:tcW w:type="dxa" w:w="3312"/>
            <w:shd w:fill="FBF9F4"/>
            <w:tcMar>
              <w:top w:w="140" w:type="dxa"/>
              <w:bottom w:w="140" w:type="dxa"/>
              <w:left w:w="150" w:type="dxa"/>
              <w:right w:w="150" w:type="dxa"/>
            </w:tcMar>
          </w:tcPr>
          <w:p>
            <w:pPr>
              <w:jc w:val="center"/>
            </w:pPr>
            <w:r>
              <w:rPr>
                <w:rFonts w:ascii="Carlito" w:hAnsi="Carlito" w:cs="Amiri" w:eastAsia="Amiri"/>
                <w:b/>
                <w:i w:val="0"/>
                <w:color w:val="8C1D1D"/>
                <w:sz w:val="36"/>
              </w:rPr>
              <w:t>2</w:t>
            </w:r>
          </w:p>
        </w:tc>
        <w:tc>
          <w:tcPr>
            <w:tcW w:type="dxa" w:w="3312"/>
            <w:shd w:fill="FBF9F4"/>
            <w:tcMar>
              <w:top w:w="140" w:type="dxa"/>
              <w:bottom w:w="140" w:type="dxa"/>
              <w:left w:w="150" w:type="dxa"/>
              <w:right w:w="150" w:type="dxa"/>
            </w:tcMar>
          </w:tcPr>
          <w:p>
            <w:pPr>
              <w:jc w:val="center"/>
            </w:pPr>
            <w:r>
              <w:rPr>
                <w:rFonts w:ascii="Carlito" w:hAnsi="Carlito" w:cs="Amiri" w:eastAsia="Amiri"/>
                <w:b/>
                <w:i w:val="0"/>
                <w:color w:val="C9A227"/>
                <w:sz w:val="36"/>
              </w:rPr>
              <w:t>5</w:t>
            </w:r>
          </w:p>
        </w:tc>
      </w:tr>
    </w:tbl>
    <w:p>
      <w:pPr>
        <w:spacing w:after="160"/>
      </w:pPr>
    </w:p>
    <w:p>
      <w:pPr>
        <w:bidi/>
      </w:pPr>
      <w:r>
        <w:rPr>
          <w:rFonts w:ascii="Carlito" w:hAnsi="Carlito" w:cs="Amiri" w:eastAsia="Amiri"/>
          <w:b/>
          <w:i w:val="0"/>
          <w:color w:val="13294B"/>
          <w:sz w:val="26"/>
        </w:rPr>
        <w:t>انتصارات سريعة (Quick Wins)</w:t>
      </w:r>
    </w:p>
    <w:tbl>
      <w:tblPr>
        <w:tblW w:type="auto" w:w="0"/>
        <w:tblLook w:firstColumn="1" w:firstRow="1" w:lastColumn="0" w:lastRow="0" w:noHBand="0" w:noVBand="1" w:val="04A0"/>
      </w:tblPr>
      <w:tblGrid>
        <w:gridCol w:w="9936"/>
      </w:tblGrid>
      <w:tr>
        <w:tc>
          <w:tcPr>
            <w:tcW w:type="dxa" w:w="9936"/>
            <w:shd w:fill="FBF9F4"/>
            <w:tcMar>
              <w:top w:w="120" w:type="dxa"/>
              <w:bottom w:w="120" w:type="dxa"/>
              <w:left w:w="200" w:type="dxa"/>
              <w:right w:w="200" w:type="dxa"/>
            </w:tcMar>
            <w:tcBorders>
              <w:top w:val="none"/>
              <w:bottom w:val="none"/>
              <w:left w:val="none"/>
              <w:right w:val="single" w:sz="20" w:space="0" w:color="C9A227"/>
            </w:tcBorders>
          </w:tcPr>
          <w:p>
            <w:pPr>
              <w:bidi/>
              <w:spacing w:after="120"/>
            </w:pPr>
            <w:r>
              <w:rPr>
                <w:rFonts w:ascii="Carlito" w:hAnsi="Carlito" w:cs="Amiri" w:eastAsia="Amiri"/>
                <w:b/>
                <w:i w:val="0"/>
                <w:color w:val="C9A227"/>
                <w:sz w:val="22"/>
              </w:rPr>
              <w:t xml:space="preserve">— </w:t>
            </w:r>
            <w:r>
              <w:rPr>
                <w:rFonts w:ascii="Carlito" w:hAnsi="Carlito" w:cs="Amiri" w:eastAsia="Amiri"/>
                <w:b w:val="0"/>
                <w:i w:val="0"/>
                <w:color w:val="1C2430"/>
                <w:sz w:val="22"/>
              </w:rPr>
              <w:t>تحديد الأهداف SMART (الواضحة، القابلة للقياس، القابلة للتحقيق، ذات الوقتية، مرتبطة بالنتائج) لتحسين الكفاءة.</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1C2430"/>
                <w:sz w:val="22"/>
              </w:rPr>
              <w:t>استخدام أدوات التحليل البياني لمراقبة الأداء وتحديد النقاط القوية والضعيفة.</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1C2430"/>
                <w:sz w:val="22"/>
              </w:rPr>
              <w:t>تقديم التغذية الراجعة المستمرة للموظفين لتحسين الأداء وتعزيز الثقة بين الفرق.</w:t>
            </w:r>
          </w:p>
        </w:tc>
      </w:tr>
    </w:tbl>
    <w:p>
      <w:pPr>
        <w:spacing w:after="160"/>
      </w:pPr>
    </w:p>
    <w:p>
      <w:pPr>
        <w:bidi/>
      </w:pPr>
      <w:r>
        <w:rPr>
          <w:rFonts w:ascii="Carlito" w:hAnsi="Carlito" w:cs="Amiri" w:eastAsia="Amiri"/>
          <w:b/>
          <w:i w:val="0"/>
          <w:color w:val="13294B"/>
          <w:sz w:val="26"/>
        </w:rPr>
        <w:t>ومضة إدارية — إدارة الأداء المؤسسي</w:t>
      </w:r>
    </w:p>
    <w:tbl>
      <w:tblPr>
        <w:tblW w:type="auto" w:w="0"/>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top w:val="single" w:sz="4" w:space="0" w:color="D8D2C2"/>
              <w:bottom w:val="single" w:sz="4" w:space="0" w:color="D8D2C2"/>
              <w:left w:val="single" w:sz="4" w:space="0" w:color="D8D2C2"/>
              <w:right w:val="single" w:sz="4" w:space="0" w:color="D8D2C2"/>
            </w:tcBorders>
          </w:tcPr>
          <w:p>
            <w:pPr>
              <w:bidi/>
              <w:spacing w:line="312" w:lineRule="auto"/>
            </w:pPr>
            <w:r>
              <w:rPr>
                <w:rFonts w:ascii="Carlito" w:hAnsi="Carlito" w:cs="Amiri" w:eastAsia="Amiri"/>
                <w:b w:val="0"/>
                <w:i w:val="0"/>
                <w:color w:val="1C2430"/>
                <w:sz w:val="22"/>
              </w:rPr>
              <w:t>إدارة الأداء المؤسسي هي عملية تحديد الأهداف وتحليل الأداء وتقديم التغذية الراجعة بهدف تحسين الكفاءة وتحقيق الأهداف المؤسسية. يظل هذا المفهوم أساسيًا اليوم نظرًا لتحديات السوق المتغيرة وتزايد الحاجة إلى الكفاءة التشغيلية.</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تحديد الأهداف الواضحة والقابلة للتحقيق</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مراقبة الأداء باستمرار</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تقديم التغذية الراجعة الفعالة</w:t>
            </w:r>
          </w:p>
        </w:tc>
      </w:tr>
    </w:tbl>
    <w:p>
      <w:pPr>
        <w:spacing w:after="160"/>
      </w:pPr>
    </w:p>
    <w:p>
      <w:pPr>
        <w:bidi/>
      </w:pPr>
      <w:r>
        <w:rPr>
          <w:rFonts w:ascii="Carlito" w:hAnsi="Carlito" w:cs="Amiri" w:eastAsia="Amiri"/>
          <w:b/>
          <w:i w:val="0"/>
          <w:color w:val="13294B"/>
          <w:sz w:val="26"/>
        </w:rPr>
        <w:t>أبرز التطورات حسب المجال</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التدقيق الداخلي  </w:t>
            </w:r>
            <w:r>
              <w:rPr>
                <w:rFonts w:ascii="Carlito" w:hAnsi="Carlito" w:cs="Amiri" w:eastAsia="Amiri"/>
                <w:b/>
                <w:i w:val="0"/>
                <w:color w:val="E8D9A0"/>
                <w:sz w:val="20"/>
              </w:rPr>
              <w:t xml:space="preserve"> [تطورات جديدة | متوسط]</w:t>
            </w:r>
          </w:p>
        </w:tc>
      </w:tr>
    </w:tbl>
    <w:p>
      <w:pPr>
        <w:bidi/>
        <w:spacing w:before="80"/>
      </w:pPr>
      <w:r>
        <w:rPr>
          <w:rFonts w:ascii="Carlito" w:hAnsi="Carlito" w:cs="Amiri" w:eastAsia="Amiri"/>
          <w:b/>
          <w:i w:val="0"/>
          <w:color w:val="13294B"/>
          <w:sz w:val="24"/>
        </w:rPr>
        <w:t>إطلاق وثيقة إطار عمل تكامل المساواة والشمول في التدقيق الامتثالي</w:t>
      </w:r>
    </w:p>
    <w:p>
      <w:pPr>
        <w:bidi/>
        <w:spacing w:line="312" w:lineRule="auto" w:after="120"/>
      </w:pPr>
      <w:r>
        <w:rPr>
          <w:rFonts w:ascii="Carlito" w:hAnsi="Carlito" w:cs="Amiri" w:eastAsia="Amiri"/>
          <w:b w:val="0"/>
          <w:i w:val="0"/>
          <w:color w:val="1C2430"/>
          <w:sz w:val="22"/>
        </w:rPr>
        <w:t>لجنة التدقيق الامتثالي التابعة للإنتوساي أطلقت وثيقة إطار عمل تكامل المساواة والشمول في التدقيق الامتثالي، التي تستند إلى تجارب أجهزة الرقابة المالية العليا في مختلف القارات.</w:t>
      </w:r>
    </w:p>
    <w:tbl>
      <w:tblPr>
        <w:tblW w:type="auto" w:w="0"/>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top w:val="none"/>
              <w:left w:val="none"/>
              <w:bottom w:val="none"/>
              <w:right w:val="single" w:sz="20" w:space="0" w:color="8A6D1A"/>
            </w:tcBorders>
          </w:tcPr>
          <w:p>
            <w:pPr>
              <w:bidi/>
            </w:pPr>
            <w:r>
              <w:rPr>
                <w:rFonts w:ascii="Carlito" w:hAnsi="Carlito" w:cs="Amiri" w:eastAsia="Amiri"/>
                <w:b/>
                <w:i w:val="0"/>
                <w:color w:val="13294B"/>
                <w:sz w:val="21"/>
              </w:rPr>
              <w:t xml:space="preserve">الأثر (Why It Matters): </w:t>
            </w:r>
            <w:r>
              <w:rPr>
                <w:rFonts w:ascii="Carlito" w:hAnsi="Carlito" w:cs="Amiri" w:eastAsia="Amiri"/>
                <w:b w:val="0"/>
                <w:i w:val="0"/>
                <w:color w:val="1C2430"/>
                <w:sz w:val="21"/>
              </w:rPr>
              <w:t>تحسين جودة التدقيق وتعزيز الشمولية.</w:t>
            </w:r>
          </w:p>
          <w:p>
            <w:pPr>
              <w:bidi/>
              <w:spacing w:before="80"/>
            </w:pPr>
            <w:r>
              <w:rPr>
                <w:rFonts w:ascii="Carlito" w:hAnsi="Carlito" w:cs="Amiri" w:eastAsia="Amiri"/>
                <w:b/>
                <w:i w:val="0"/>
                <w:color w:val="13294B"/>
                <w:sz w:val="21"/>
              </w:rPr>
              <w:t xml:space="preserve">إجراءات موصى بها: </w:t>
            </w:r>
            <w:r>
              <w:rPr>
                <w:rFonts w:ascii="Carlito" w:hAnsi="Carlito" w:cs="Amiri" w:eastAsia="Amiri"/>
                <w:b w:val="0"/>
                <w:i w:val="0"/>
                <w:color w:val="1C2430"/>
                <w:sz w:val="21"/>
              </w:rPr>
              <w:t>مراجعة الوثيقة وإدماج مبدأي المساواة والشمول في ممارسات التدقيق.</w:t>
            </w:r>
          </w:p>
          <w:p>
            <w:pPr>
              <w:bidi/>
              <w:spacing w:before="80"/>
            </w:pPr>
            <w:r>
              <w:rPr>
                <w:rFonts w:ascii="Carlito" w:hAnsi="Carlito" w:cs="Amiri" w:eastAsia="Amiri"/>
                <w:b/>
                <w:i w:val="0"/>
                <w:color w:val="5B6472"/>
                <w:sz w:val="19"/>
              </w:rPr>
              <w:t xml:space="preserve">المصدر: </w:t>
            </w:r>
            <w:hyperlink r:id="rId10">
              <w:r>
                <w:rPr>
                  <w:rFonts w:ascii="Carlito" w:hAnsi="Carlito" w:cs="Amiri" w:eastAsia="Amiri"/>
                  <w:sz w:val="19"/>
                  <w:u w:val="single"/>
                  <w:color w:val="C9A227"/>
                </w:rPr>
                <w:t>INTOSAI</w:t>
              </w:r>
            </w:hyperlink>
          </w:p>
        </w:tc>
      </w:tr>
    </w:tbl>
    <w:p>
      <w:pPr>
        <w:spacing w:after="200"/>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تدقيق الأداء  </w:t>
            </w:r>
            <w:r>
              <w:rPr>
                <w:rFonts w:ascii="Carlito" w:hAnsi="Carlito" w:cs="Amiri" w:eastAsia="Amiri"/>
                <w:b/>
                <w:i w:val="0"/>
                <w:color w:val="E8D9A0"/>
                <w:sz w:val="20"/>
              </w:rPr>
              <w:t xml:space="preserve"> [تطورات جديدة | منخفض]</w:t>
            </w:r>
          </w:p>
        </w:tc>
      </w:tr>
    </w:tbl>
    <w:p>
      <w:pPr>
        <w:bidi/>
        <w:spacing w:before="80"/>
      </w:pPr>
      <w:r>
        <w:rPr>
          <w:rFonts w:ascii="Carlito" w:hAnsi="Carlito" w:cs="Amiri" w:eastAsia="Amiri"/>
          <w:b/>
          <w:i w:val="0"/>
          <w:color w:val="13294B"/>
          <w:sz w:val="24"/>
        </w:rPr>
        <w:t>تطورات في تدقيق الأداء</w:t>
      </w:r>
    </w:p>
    <w:p>
      <w:pPr>
        <w:bidi/>
        <w:spacing w:line="312" w:lineRule="auto" w:after="120"/>
      </w:pPr>
      <w:r>
        <w:rPr>
          <w:rFonts w:ascii="Carlito" w:hAnsi="Carlito" w:cs="Amiri" w:eastAsia="Amiri"/>
          <w:b w:val="0"/>
          <w:i w:val="0"/>
          <w:color w:val="1C2430"/>
          <w:sz w:val="22"/>
        </w:rPr>
        <w:t>تركز INTOSAI على التعاون والابتكار في ممارسات التدقيق، مع إطلاق ورش عمل حول الحوكمة والإدارة المخاطر.</w:t>
      </w:r>
    </w:p>
    <w:tbl>
      <w:tblPr>
        <w:tblW w:type="auto" w:w="0"/>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top w:val="none"/>
              <w:left w:val="none"/>
              <w:bottom w:val="none"/>
              <w:right w:val="single" w:sz="20" w:space="0" w:color="1E6B3E"/>
            </w:tcBorders>
          </w:tcPr>
          <w:p>
            <w:pPr>
              <w:bidi/>
            </w:pPr>
            <w:r>
              <w:rPr>
                <w:rFonts w:ascii="Carlito" w:hAnsi="Carlito" w:cs="Amiri" w:eastAsia="Amiri"/>
                <w:b/>
                <w:i w:val="0"/>
                <w:color w:val="13294B"/>
                <w:sz w:val="21"/>
              </w:rPr>
              <w:t xml:space="preserve">الأثر (Why It Matters): </w:t>
            </w:r>
            <w:r>
              <w:rPr>
                <w:rFonts w:ascii="Carlito" w:hAnsi="Carlito" w:cs="Amiri" w:eastAsia="Amiri"/>
                <w:b w:val="0"/>
                <w:i w:val="0"/>
                <w:color w:val="1C2430"/>
                <w:sz w:val="21"/>
              </w:rPr>
              <w:t>تحسين جودة التدقيق وتعزيز الشمولية.</w:t>
            </w:r>
          </w:p>
          <w:p>
            <w:pPr>
              <w:bidi/>
              <w:spacing w:before="80"/>
            </w:pPr>
            <w:r>
              <w:rPr>
                <w:rFonts w:ascii="Carlito" w:hAnsi="Carlito" w:cs="Amiri" w:eastAsia="Amiri"/>
                <w:b/>
                <w:i w:val="0"/>
                <w:color w:val="13294B"/>
                <w:sz w:val="21"/>
              </w:rPr>
              <w:t xml:space="preserve">إجراءات موصى بها: </w:t>
            </w:r>
            <w:r>
              <w:rPr>
                <w:rFonts w:ascii="Carlito" w:hAnsi="Carlito" w:cs="Amiri" w:eastAsia="Amiri"/>
                <w:b w:val="0"/>
                <w:i w:val="0"/>
                <w:color w:val="1C2430"/>
                <w:sz w:val="21"/>
              </w:rPr>
              <w:t>الانضمام إلى ورش العمل والتواصل مع المجتمع المهني.</w:t>
            </w:r>
          </w:p>
          <w:p>
            <w:pPr>
              <w:bidi/>
              <w:spacing w:before="80"/>
            </w:pPr>
            <w:r>
              <w:rPr>
                <w:rFonts w:ascii="Carlito" w:hAnsi="Carlito" w:cs="Amiri" w:eastAsia="Amiri"/>
                <w:b/>
                <w:i w:val="0"/>
                <w:color w:val="5B6472"/>
                <w:sz w:val="19"/>
              </w:rPr>
              <w:t xml:space="preserve">المصدر: </w:t>
            </w:r>
            <w:hyperlink r:id="rId11">
              <w:r>
                <w:rPr>
                  <w:rFonts w:ascii="Carlito" w:hAnsi="Carlito" w:cs="Amiri" w:eastAsia="Amiri"/>
                  <w:sz w:val="19"/>
                  <w:u w:val="single"/>
                  <w:color w:val="C9A227"/>
                </w:rPr>
                <w:t>INTOSAI</w:t>
              </w:r>
            </w:hyperlink>
          </w:p>
        </w:tc>
      </w:tr>
    </w:tbl>
    <w:p>
      <w:pPr>
        <w:spacing w:after="200"/>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الحوكمة  </w:t>
            </w:r>
            <w:r>
              <w:rPr>
                <w:rFonts w:ascii="Carlito" w:hAnsi="Carlito" w:cs="Amiri" w:eastAsia="Amiri"/>
                <w:b/>
                <w:i w:val="0"/>
                <w:color w:val="E8D9A0"/>
                <w:sz w:val="20"/>
              </w:rPr>
              <w:t xml:space="preserve"> [تطورات جديدة | عالٍ]</w:t>
            </w:r>
          </w:p>
        </w:tc>
      </w:tr>
    </w:tbl>
    <w:p>
      <w:pPr>
        <w:bidi/>
        <w:spacing w:before="80"/>
      </w:pPr>
      <w:r>
        <w:rPr>
          <w:rFonts w:ascii="Carlito" w:hAnsi="Carlito" w:cs="Amiri" w:eastAsia="Amiri"/>
          <w:b/>
          <w:i w:val="0"/>
          <w:color w:val="13294B"/>
          <w:sz w:val="24"/>
        </w:rPr>
        <w:t>نظام العقوبات بمجموعة البنك الدولي</w:t>
      </w:r>
    </w:p>
    <w:p>
      <w:pPr>
        <w:bidi/>
        <w:spacing w:line="312" w:lineRule="auto" w:after="120"/>
      </w:pPr>
      <w:r>
        <w:rPr>
          <w:rFonts w:ascii="Carlito" w:hAnsi="Carlito" w:cs="Amiri" w:eastAsia="Amiri"/>
          <w:b w:val="0"/>
          <w:i w:val="0"/>
          <w:color w:val="1C2430"/>
          <w:sz w:val="22"/>
        </w:rPr>
        <w:t>يهدف نظام العقوبات بمجموعة البنك الدولي إلى تشجيع الحوكمة الرشيدة والتصدي للفساد من خلال تعزيز الشفافية والمساءلة.</w:t>
      </w:r>
    </w:p>
    <w:tbl>
      <w:tblPr>
        <w:tblW w:type="auto" w:w="0"/>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top w:val="none"/>
              <w:left w:val="none"/>
              <w:bottom w:val="none"/>
              <w:right w:val="single" w:sz="20" w:space="0" w:color="B5541A"/>
            </w:tcBorders>
          </w:tcPr>
          <w:p>
            <w:pPr>
              <w:bidi/>
            </w:pPr>
            <w:r>
              <w:rPr>
                <w:rFonts w:ascii="Carlito" w:hAnsi="Carlito" w:cs="Amiri" w:eastAsia="Amiri"/>
                <w:b/>
                <w:i w:val="0"/>
                <w:color w:val="13294B"/>
                <w:sz w:val="21"/>
              </w:rPr>
              <w:t xml:space="preserve">الأثر (Why It Matters): </w:t>
            </w:r>
            <w:r>
              <w:rPr>
                <w:rFonts w:ascii="Carlito" w:hAnsi="Carlito" w:cs="Amiri" w:eastAsia="Amiri"/>
                <w:b w:val="0"/>
                <w:i w:val="0"/>
                <w:color w:val="1C2430"/>
                <w:sz w:val="21"/>
              </w:rPr>
              <w:t>تحسين جودة الحوكمة وتعزيز النزاهة.</w:t>
            </w:r>
          </w:p>
          <w:p>
            <w:pPr>
              <w:bidi/>
              <w:spacing w:before="80"/>
            </w:pPr>
            <w:r>
              <w:rPr>
                <w:rFonts w:ascii="Carlito" w:hAnsi="Carlito" w:cs="Amiri" w:eastAsia="Amiri"/>
                <w:b/>
                <w:i w:val="0"/>
                <w:color w:val="13294B"/>
                <w:sz w:val="21"/>
              </w:rPr>
              <w:t xml:space="preserve">إجراءات موصى بها: </w:t>
            </w:r>
            <w:r>
              <w:rPr>
                <w:rFonts w:ascii="Carlito" w:hAnsi="Carlito" w:cs="Amiri" w:eastAsia="Amiri"/>
                <w:b w:val="0"/>
                <w:i w:val="0"/>
                <w:color w:val="1C2430"/>
                <w:sz w:val="21"/>
              </w:rPr>
              <w:t>مراجعة النظام وتعزيز ممارسات الشفافية.</w:t>
            </w:r>
          </w:p>
          <w:p>
            <w:pPr>
              <w:bidi/>
              <w:spacing w:before="80"/>
            </w:pPr>
            <w:r>
              <w:rPr>
                <w:rFonts w:ascii="Carlito" w:hAnsi="Carlito" w:cs="Amiri" w:eastAsia="Amiri"/>
                <w:b/>
                <w:i w:val="0"/>
                <w:color w:val="5B6472"/>
                <w:sz w:val="19"/>
              </w:rPr>
              <w:t xml:space="preserve">المصدر: </w:t>
            </w:r>
            <w:hyperlink r:id="rId12">
              <w:r>
                <w:rPr>
                  <w:rFonts w:ascii="Carlito" w:hAnsi="Carlito" w:cs="Amiri" w:eastAsia="Amiri"/>
                  <w:sz w:val="19"/>
                  <w:u w:val="single"/>
                  <w:color w:val="C9A227"/>
                </w:rPr>
                <w:t>World Bank</w:t>
              </w:r>
            </w:hyperlink>
          </w:p>
        </w:tc>
      </w:tr>
    </w:tbl>
    <w:p>
      <w:pPr>
        <w:spacing w:after="200"/>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الرقابة الداخلية  </w:t>
            </w:r>
            <w:r>
              <w:rPr>
                <w:rFonts w:ascii="Carlito" w:hAnsi="Carlito" w:cs="Amiri" w:eastAsia="Amiri"/>
                <w:b/>
                <w:i w:val="0"/>
                <w:color w:val="E8D9A0"/>
                <w:sz w:val="20"/>
              </w:rPr>
              <w:t xml:space="preserve"> [تطورات جديدة | متوسط]</w:t>
            </w:r>
          </w:p>
        </w:tc>
      </w:tr>
    </w:tbl>
    <w:p>
      <w:pPr>
        <w:bidi/>
        <w:spacing w:before="80"/>
      </w:pPr>
      <w:r>
        <w:rPr>
          <w:rFonts w:ascii="Carlito" w:hAnsi="Carlito" w:cs="Amiri" w:eastAsia="Amiri"/>
          <w:b/>
          <w:i w:val="0"/>
          <w:color w:val="13294B"/>
          <w:sz w:val="24"/>
        </w:rPr>
        <w:t>توجيهات COSO حول إدارة المخاطر</w:t>
      </w:r>
    </w:p>
    <w:p>
      <w:pPr>
        <w:bidi/>
        <w:spacing w:line="312" w:lineRule="auto" w:after="120"/>
      </w:pPr>
      <w:r>
        <w:rPr>
          <w:rFonts w:ascii="Carlito" w:hAnsi="Carlito" w:cs="Amiri" w:eastAsia="Amiri"/>
          <w:b w:val="0"/>
          <w:i w:val="0"/>
          <w:color w:val="1C2430"/>
          <w:sz w:val="22"/>
        </w:rPr>
        <w:t>أصدرت COSO توجيهات جديدة حول إدارة المخاطر، بما في ذلك توجيهات حول الذكاء الاصطناعي التوليدي.</w:t>
      </w:r>
    </w:p>
    <w:tbl>
      <w:tblPr>
        <w:tblW w:type="auto" w:w="0"/>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top w:val="none"/>
              <w:left w:val="none"/>
              <w:bottom w:val="none"/>
              <w:right w:val="single" w:sz="20" w:space="0" w:color="8A6D1A"/>
            </w:tcBorders>
          </w:tcPr>
          <w:p>
            <w:pPr>
              <w:bidi/>
            </w:pPr>
            <w:r>
              <w:rPr>
                <w:rFonts w:ascii="Carlito" w:hAnsi="Carlito" w:cs="Amiri" w:eastAsia="Amiri"/>
                <w:b/>
                <w:i w:val="0"/>
                <w:color w:val="13294B"/>
                <w:sz w:val="21"/>
              </w:rPr>
              <w:t xml:space="preserve">الأثر (Why It Matters): </w:t>
            </w:r>
            <w:r>
              <w:rPr>
                <w:rFonts w:ascii="Carlito" w:hAnsi="Carlito" w:cs="Amiri" w:eastAsia="Amiri"/>
                <w:b w:val="0"/>
                <w:i w:val="0"/>
                <w:color w:val="1C2430"/>
                <w:sz w:val="21"/>
              </w:rPr>
              <w:t>تحسين جودة إدارة المخاطر وتعزيز الشفافية.</w:t>
            </w:r>
          </w:p>
          <w:p>
            <w:pPr>
              <w:bidi/>
              <w:spacing w:before="80"/>
            </w:pPr>
            <w:r>
              <w:rPr>
                <w:rFonts w:ascii="Carlito" w:hAnsi="Carlito" w:cs="Amiri" w:eastAsia="Amiri"/>
                <w:b/>
                <w:i w:val="0"/>
                <w:color w:val="13294B"/>
                <w:sz w:val="21"/>
              </w:rPr>
              <w:t xml:space="preserve">إجراءات موصى بها: </w:t>
            </w:r>
            <w:r>
              <w:rPr>
                <w:rFonts w:ascii="Carlito" w:hAnsi="Carlito" w:cs="Amiri" w:eastAsia="Amiri"/>
                <w:b w:val="0"/>
                <w:i w:val="0"/>
                <w:color w:val="1C2430"/>
                <w:sz w:val="21"/>
              </w:rPr>
              <w:t>مراجعة التوجيهات وتطبيقها في المنظمة.</w:t>
            </w:r>
          </w:p>
          <w:p>
            <w:pPr>
              <w:bidi/>
              <w:spacing w:before="80"/>
            </w:pPr>
            <w:r>
              <w:rPr>
                <w:rFonts w:ascii="Carlito" w:hAnsi="Carlito" w:cs="Amiri" w:eastAsia="Amiri"/>
                <w:b/>
                <w:i w:val="0"/>
                <w:color w:val="5B6472"/>
                <w:sz w:val="19"/>
              </w:rPr>
              <w:t xml:space="preserve">المصدر: </w:t>
            </w:r>
            <w:hyperlink r:id="rId13">
              <w:r>
                <w:rPr>
                  <w:rFonts w:ascii="Carlito" w:hAnsi="Carlito" w:cs="Amiri" w:eastAsia="Amiri"/>
                  <w:sz w:val="19"/>
                  <w:u w:val="single"/>
                  <w:color w:val="C9A227"/>
                </w:rPr>
                <w:t>COSO</w:t>
              </w:r>
            </w:hyperlink>
          </w:p>
        </w:tc>
      </w:tr>
    </w:tbl>
    <w:p>
      <w:pPr>
        <w:spacing w:after="200"/>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إدارة المخاطر  </w:t>
            </w:r>
            <w:r>
              <w:rPr>
                <w:rFonts w:ascii="Carlito" w:hAnsi="Carlito" w:cs="Amiri" w:eastAsia="Amiri"/>
                <w:b/>
                <w:i w:val="0"/>
                <w:color w:val="E8D9A0"/>
                <w:sz w:val="20"/>
              </w:rPr>
              <w:t xml:space="preserve"> [تطورات جديدة | عالٍ]</w:t>
            </w:r>
          </w:p>
        </w:tc>
      </w:tr>
    </w:tbl>
    <w:p>
      <w:pPr>
        <w:bidi/>
        <w:spacing w:before="80"/>
      </w:pPr>
      <w:r>
        <w:rPr>
          <w:rFonts w:ascii="Carlito" w:hAnsi="Carlito" w:cs="Amiri" w:eastAsia="Amiri"/>
          <w:b/>
          <w:i w:val="0"/>
          <w:color w:val="13294B"/>
          <w:sz w:val="24"/>
        </w:rPr>
        <w:t>مخاطر المياه في إدارة المخاطر</w:t>
      </w:r>
    </w:p>
    <w:p>
      <w:pPr>
        <w:bidi/>
        <w:spacing w:line="312" w:lineRule="auto" w:after="120"/>
      </w:pPr>
      <w:r>
        <w:rPr>
          <w:rFonts w:ascii="Carlito" w:hAnsi="Carlito" w:cs="Amiri" w:eastAsia="Amiri"/>
          <w:b w:val="0"/>
          <w:i w:val="0"/>
          <w:color w:val="1C2430"/>
          <w:sz w:val="22"/>
        </w:rPr>
        <w:t>أشارت IFAC إلى أن مخاطر المياه تشكل تهديدًا كبيرًا لاستمرارية الأعمال.</w:t>
      </w:r>
    </w:p>
    <w:tbl>
      <w:tblPr>
        <w:tblW w:type="auto" w:w="0"/>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top w:val="none"/>
              <w:left w:val="none"/>
              <w:bottom w:val="none"/>
              <w:right w:val="single" w:sz="20" w:space="0" w:color="B5541A"/>
            </w:tcBorders>
          </w:tcPr>
          <w:p>
            <w:pPr>
              <w:bidi/>
            </w:pPr>
            <w:r>
              <w:rPr>
                <w:rFonts w:ascii="Carlito" w:hAnsi="Carlito" w:cs="Amiri" w:eastAsia="Amiri"/>
                <w:b/>
                <w:i w:val="0"/>
                <w:color w:val="13294B"/>
                <w:sz w:val="21"/>
              </w:rPr>
              <w:t xml:space="preserve">الأثر (Why It Matters): </w:t>
            </w:r>
            <w:r>
              <w:rPr>
                <w:rFonts w:ascii="Carlito" w:hAnsi="Carlito" w:cs="Amiri" w:eastAsia="Amiri"/>
                <w:b w:val="0"/>
                <w:i w:val="0"/>
                <w:color w:val="1C2430"/>
                <w:sz w:val="21"/>
              </w:rPr>
              <w:t>تحسين جودة إدارة المخاطر وتعزيز الشفافية.</w:t>
            </w:r>
          </w:p>
          <w:p>
            <w:pPr>
              <w:bidi/>
              <w:spacing w:before="80"/>
            </w:pPr>
            <w:r>
              <w:rPr>
                <w:rFonts w:ascii="Carlito" w:hAnsi="Carlito" w:cs="Amiri" w:eastAsia="Amiri"/>
                <w:b/>
                <w:i w:val="0"/>
                <w:color w:val="13294B"/>
                <w:sz w:val="21"/>
              </w:rPr>
              <w:t xml:space="preserve">إجراءات موصى بها: </w:t>
            </w:r>
            <w:r>
              <w:rPr>
                <w:rFonts w:ascii="Carlito" w:hAnsi="Carlito" w:cs="Amiri" w:eastAsia="Amiri"/>
                <w:b w:val="0"/>
                <w:i w:val="0"/>
                <w:color w:val="1C2430"/>
                <w:sz w:val="21"/>
              </w:rPr>
              <w:t>مراجعة مخاطر المياه وتطوير استراتيجيات لمواجهتها.</w:t>
            </w:r>
          </w:p>
          <w:p>
            <w:pPr>
              <w:bidi/>
              <w:spacing w:before="80"/>
            </w:pPr>
            <w:r>
              <w:rPr>
                <w:rFonts w:ascii="Carlito" w:hAnsi="Carlito" w:cs="Amiri" w:eastAsia="Amiri"/>
                <w:b/>
                <w:i w:val="0"/>
                <w:color w:val="5B6472"/>
                <w:sz w:val="19"/>
              </w:rPr>
              <w:t xml:space="preserve">المصدر: </w:t>
            </w:r>
            <w:hyperlink r:id="rId14">
              <w:r>
                <w:rPr>
                  <w:rFonts w:ascii="Carlito" w:hAnsi="Carlito" w:cs="Amiri" w:eastAsia="Amiri"/>
                  <w:sz w:val="19"/>
                  <w:u w:val="single"/>
                  <w:color w:val="C9A227"/>
                </w:rPr>
                <w:t>IFAC</w:t>
              </w:r>
            </w:hyperlink>
          </w:p>
        </w:tc>
      </w:tr>
    </w:tbl>
    <w:p>
      <w:pPr>
        <w:spacing w:after="200"/>
      </w:pPr>
    </w:p>
    <w:p>
      <w:pPr>
        <w:bidi/>
      </w:pPr>
      <w:r>
        <w:rPr>
          <w:rFonts w:ascii="Carlito" w:hAnsi="Carlito" w:cs="Amiri" w:eastAsia="Amiri"/>
          <w:b/>
          <w:i w:val="0"/>
          <w:color w:val="13294B"/>
          <w:sz w:val="26"/>
        </w:rPr>
        <w:t>للقراءة هذا الأسبوع (Further Reading)</w:t>
      </w:r>
    </w:p>
    <w:p>
      <w:pPr>
        <w:bidi/>
        <w:spacing w:after="80"/>
      </w:pPr>
      <w:r>
        <w:rPr>
          <w:rFonts w:ascii="Carlito" w:hAnsi="Carlito" w:cs="Amiri" w:eastAsia="Amiri"/>
          <w:b w:val="0"/>
          <w:i w:val="0"/>
          <w:color w:val="5B6472"/>
          <w:sz w:val="21"/>
        </w:rPr>
        <w:t xml:space="preserve">• تقرير — </w:t>
      </w:r>
      <w:hyperlink r:id="rId15">
        <w:r>
          <w:rPr>
            <w:rFonts w:ascii="Carlito" w:hAnsi="Carlito" w:cs="Amiri" w:eastAsia="Amiri"/>
            <w:sz w:val="21"/>
            <w:b/>
            <w:u w:val="single"/>
            <w:color w:val="C9A227"/>
          </w:rPr>
          <w:t>تحليل مسار قطاع الطاقة العالمي وصولًا إلى عام 2050</w:t>
        </w:r>
      </w:hyperlink>
      <w:r>
        <w:rPr>
          <w:rFonts w:ascii="Carlito" w:hAnsi="Carlito" w:cs="Amiri" w:eastAsia="Amiri"/>
          <w:b w:val="0"/>
          <w:i w:val="0"/>
          <w:color w:val="5B6472"/>
          <w:sz w:val="19"/>
        </w:rPr>
        <w:t xml:space="preserve">  (McKinsey)</w:t>
      </w:r>
    </w:p>
    <w:p>
      <w:pPr>
        <w:bidi/>
        <w:spacing w:after="80"/>
      </w:pPr>
      <w:r>
        <w:rPr>
          <w:rFonts w:ascii="Carlito" w:hAnsi="Carlito" w:cs="Amiri" w:eastAsia="Amiri"/>
          <w:b w:val="0"/>
          <w:i w:val="0"/>
          <w:color w:val="5B6472"/>
          <w:sz w:val="21"/>
        </w:rPr>
        <w:t xml:space="preserve">• مقال — </w:t>
      </w:r>
      <w:hyperlink r:id="rId16">
        <w:r>
          <w:rPr>
            <w:rFonts w:ascii="Carlito" w:hAnsi="Carlito" w:cs="Amiri" w:eastAsia="Amiri"/>
            <w:sz w:val="21"/>
            <w:b/>
            <w:u w:val="single"/>
            <w:color w:val="C9A227"/>
          </w:rPr>
          <w:t>إدارة المخاطر المرتبطة بالذكاء الاصطناعي التوليدي</w:t>
        </w:r>
      </w:hyperlink>
      <w:r>
        <w:rPr>
          <w:rFonts w:ascii="Carlito" w:hAnsi="Carlito" w:cs="Amiri" w:eastAsia="Amiri"/>
          <w:b w:val="0"/>
          <w:i w:val="0"/>
          <w:color w:val="5B6472"/>
          <w:sz w:val="19"/>
        </w:rPr>
        <w:t xml:space="preserve">  (McKinsey)</w:t>
      </w:r>
    </w:p>
    <w:p>
      <w:pPr>
        <w:bidi/>
        <w:spacing w:after="80"/>
      </w:pPr>
      <w:r>
        <w:rPr>
          <w:rFonts w:ascii="Carlito" w:hAnsi="Carlito" w:cs="Amiri" w:eastAsia="Amiri"/>
          <w:b w:val="0"/>
          <w:i w:val="0"/>
          <w:color w:val="5B6472"/>
          <w:sz w:val="21"/>
        </w:rPr>
        <w:t xml:space="preserve">• مقال — </w:t>
      </w:r>
      <w:hyperlink r:id="rId17">
        <w:r>
          <w:rPr>
            <w:rFonts w:ascii="Carlito" w:hAnsi="Carlito" w:cs="Amiri" w:eastAsia="Amiri"/>
            <w:sz w:val="21"/>
            <w:b/>
            <w:u w:val="single"/>
            <w:color w:val="C9A227"/>
          </w:rPr>
          <w:t>مستقبل صناعة السيارات: كيف تستعيد أوروبا مكانتها في المنافسة العالمية؟</w:t>
        </w:r>
      </w:hyperlink>
      <w:r>
        <w:rPr>
          <w:rFonts w:ascii="Carlito" w:hAnsi="Carlito" w:cs="Amiri" w:eastAsia="Amiri"/>
          <w:b w:val="0"/>
          <w:i w:val="0"/>
          <w:color w:val="5B6472"/>
          <w:sz w:val="19"/>
        </w:rPr>
        <w:t xml:space="preserve">  (McKinsey)</w:t>
      </w:r>
    </w:p>
    <w:p>
      <w:pPr>
        <w:bidi/>
        <w:spacing w:after="80"/>
      </w:pPr>
      <w:r>
        <w:rPr>
          <w:rFonts w:ascii="Carlito" w:hAnsi="Carlito" w:cs="Amiri" w:eastAsia="Amiri"/>
          <w:b w:val="0"/>
          <w:i w:val="0"/>
          <w:color w:val="5B6472"/>
          <w:sz w:val="21"/>
        </w:rPr>
        <w:t xml:space="preserve">• مقال — </w:t>
      </w:r>
      <w:hyperlink r:id="rId18">
        <w:r>
          <w:rPr>
            <w:rFonts w:ascii="Carlito" w:hAnsi="Carlito" w:cs="Amiri" w:eastAsia="Amiri"/>
            <w:sz w:val="21"/>
            <w:b/>
            <w:u w:val="single"/>
            <w:color w:val="C9A227"/>
          </w:rPr>
          <w:t>المخاطر الجيوسياسية: الصمود وسط عالم دائم التغير</w:t>
        </w:r>
      </w:hyperlink>
      <w:r>
        <w:rPr>
          <w:rFonts w:ascii="Carlito" w:hAnsi="Carlito" w:cs="Amiri" w:eastAsia="Amiri"/>
          <w:b w:val="0"/>
          <w:i w:val="0"/>
          <w:color w:val="5B6472"/>
          <w:sz w:val="19"/>
        </w:rPr>
        <w:t xml:space="preserve">  (McKinsey)</w:t>
      </w:r>
    </w:p>
    <w:p>
      <w:pPr>
        <w:spacing w:before="160" w:after="120"/>
        <w:pBdr>
          <w:bottom w:val="single" w:sz="8" w:space="1" w:color="C9A227"/>
        </w:pBdr>
      </w:pPr>
    </w:p>
    <w:p>
      <w:pPr>
        <w:bidi/>
      </w:pPr>
      <w:r>
        <w:rPr>
          <w:rFonts w:ascii="Carlito" w:hAnsi="Carlito" w:cs="Amiri" w:eastAsia="Amiri"/>
          <w:b/>
          <w:i w:val="0"/>
          <w:color w:val="13294B"/>
          <w:sz w:val="22"/>
        </w:rPr>
        <w:t xml:space="preserve">كتاب الأسبوع: </w:t>
      </w:r>
      <w:r>
        <w:rPr>
          <w:rFonts w:ascii="Carlito" w:hAnsi="Carlito" w:cs="Amiri" w:eastAsia="Amiri"/>
          <w:b/>
          <w:i w:val="0"/>
          <w:color w:val="1C2430"/>
          <w:sz w:val="22"/>
        </w:rPr>
        <w:t>The Fifth Discipline — Peter M. Senge</w:t>
      </w:r>
    </w:p>
    <w:p>
      <w:pPr>
        <w:bidi/>
      </w:pPr>
      <w:r>
        <w:rPr>
          <w:rFonts w:ascii="Carlito" w:hAnsi="Carlito" w:cs="Amiri" w:eastAsia="Amiri"/>
          <w:b w:val="0"/>
          <w:i/>
          <w:color w:val="5B6472"/>
          <w:sz w:val="21"/>
        </w:rPr>
        <w:t>يقدم الكتاب نظرة شاملة على إدارة الأداء المؤسسي من خلال مفهوم 'التفكير النقدي' وتعزيز التعاون بين الفرق.</w:t>
      </w:r>
    </w:p>
    <w:p>
      <w:pPr>
        <w:spacing w:after="16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Carlito" w:hAnsi="Carlito" w:cs="Amiri" w:eastAsia="Amiri"/>
        <w:b w:val="0"/>
        <w:i w:val="0"/>
        <w:color w:val="5B6472"/>
        <w:sz w:val="16"/>
      </w:rPr>
      <w:t xml:space="preserve">النشرة الأسبوعية للحوكمة والتدقيق — سري وللاستخدام الداخلي فقط  |  </w:t>
    </w:r>
    <w:r>
      <w:rPr>
        <w:rFonts w:ascii="Carlito" w:hAnsi="Carlito" w:cs="Amiri" w:eastAsia="Amiri"/>
        <w:b w:val="0"/>
        <w:i w:val="0"/>
        <w:color w:val="5B64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ntosai.org/ar/index.html" TargetMode="External"/><Relationship Id="rId11" Type="http://schemas.openxmlformats.org/officeDocument/2006/relationships/hyperlink" Target="https://www.intosai.org/news-centre/news/announcements-latest-news.html" TargetMode="External"/><Relationship Id="rId12" Type="http://schemas.openxmlformats.org/officeDocument/2006/relationships/hyperlink" Target="https://blogs.worldbank.org/ar/voices/world-bank-group-sanctions-system-promoting-good-governance-and-tackling-corruption" TargetMode="External"/><Relationship Id="rId13" Type="http://schemas.openxmlformats.org/officeDocument/2006/relationships/hyperlink" Target="https://www.coso.org/internal-control" TargetMode="External"/><Relationship Id="rId14" Type="http://schemas.openxmlformats.org/officeDocument/2006/relationships/hyperlink" Target="https://www.ifac.org/knowledge-gateway/discussion/almkhatr-walfrs-alty-tfrdha-almyah-la-ymkn-tjahlha-mn-qbl-alamal-aw-alsnaat-aw-alamm" TargetMode="External"/><Relationship Id="rId15" Type="http://schemas.openxmlformats.org/officeDocument/2006/relationships/hyperlink" Target="https://www.mckinsey.com/featured-insights/highlights-in-arabic/charting-the-global-energy-landscape-to-2050-sustainable-fuels-arabic/ar" TargetMode="External"/><Relationship Id="rId16" Type="http://schemas.openxmlformats.org/officeDocument/2006/relationships/hyperlink" Target="https://www.mckinsey.com/featured-insights/highlights-in-arabic/managing-the-risks-around-generative-ai-arabic/ar" TargetMode="External"/><Relationship Id="rId17" Type="http://schemas.openxmlformats.org/officeDocument/2006/relationships/hyperlink" Target="https://www.mckinsey.com/featured-insights/highlights-in-arabic/european-automotive-industry-what-it-takes-to-regain-competitiveness-arabic/ar" TargetMode="External"/><Relationship Id="rId18" Type="http://schemas.openxmlformats.org/officeDocument/2006/relationships/hyperlink" Target="https://www.mckinsey.com/featured-insights/highlights-in-arabic/geopolitical-risk-navigating-a-world-in-flux-arabic/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