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3  •  2026-08-25</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تقنيات الذكاء الاصطناعي وتأثيرها على تدقيق الداخلية</w:t>
            </w:r>
          </w:p>
          <w:p>
            <w:pPr>
              <w:spacing w:before="320"/>
              <w:jc w:val="center"/>
              <w:bidi/>
            </w:pPr>
            <w:r>
              <w:rPr>
                <w:rFonts w:ascii="Carlito" w:hAnsi="Carlito" w:cs="Amiri" w:eastAsia="Amiri"/>
                <w:b w:val="0"/>
                <w:i w:val="0"/>
                <w:color w:val="E8D9A0"/>
                <w:sz w:val="17"/>
              </w:rPr>
              <w:t>التدقيق الداخلي (Internal Audit) • تدقيق الأداء (Performance Audit) • تدقيق الالتزام (Compliance Audit) • تدقيق تكنولوجيا المعلومات (IT Audit) • الحوكمة (Governance) • الرقابة الداخلية (Internal Controls) • إدارة المخاطر (Risk Management) • الموارد البشرية (HR) • المحاسبة الإدارية (Management Accounting) • إصلاح وتحول القطاع العام (Public Sector Reform)</w:t>
            </w:r>
          </w:p>
        </w:tc>
      </w:tr>
    </w:tbl>
    <w:p/>
    <w:p>
      <w:pPr>
        <w:bidi/>
        <w:spacing w:after="80"/>
      </w:pPr>
      <w:r>
        <w:rPr>
          <w:rFonts w:ascii="Carlito" w:hAnsi="Carlito" w:cs="Amiri" w:eastAsia="Amiri"/>
          <w:b/>
          <w:i w:val="0"/>
          <w:color w:val="13294B"/>
          <w:sz w:val="26"/>
        </w:rPr>
        <w:t>✉️ كلمة التحرير</w:t>
      </w:r>
    </w:p>
    <w:p>
      <w:pPr>
        <w:bidi/>
        <w:spacing w:line="312" w:lineRule="auto"/>
      </w:pPr>
      <w:r>
        <w:rPr>
          <w:rFonts w:ascii="Carlito" w:hAnsi="Carlito" w:cs="Amiri" w:eastAsia="Amiri"/>
          <w:b w:val="0"/>
          <w:i/>
          <w:color w:val="5B6472"/>
          <w:sz w:val="23"/>
        </w:rPr>
        <w:t>في هذا الأسبوع، نرى كيف أن تقنيات الذكاء الاصطناعي تتطور بسرعة وتؤثر على تدقيق الداخلية. من تطبيقات الذكاء الاصطناعي في إدارة المخاطر إلى تحسين جودة التدقيق، هذه التقنيات تستحق انتباهنا لأنها يمكن أن تغير كيفية أداء مهنتنا.</w:t>
      </w:r>
    </w:p>
    <w:p>
      <w:pPr>
        <w:spacing w:after="80"/>
      </w:pPr>
    </w:p>
    <w:p>
      <w:pPr>
        <w:bidi/>
      </w:pPr>
      <w:r>
        <w:rPr>
          <w:rFonts w:ascii="Carlito" w:hAnsi="Carlito" w:cs="Amiri" w:eastAsia="Amiri"/>
          <w:b/>
          <w:i w:val="0"/>
          <w:color w:val="13294B"/>
          <w:sz w:val="26"/>
        </w:rPr>
        <w:t>⚡ لمحة الأسبوع</w:t>
      </w:r>
    </w:p>
    <w:tbl>
      <w:tblPr>
        <w:tblW w:type="auto" w:w="0"/>
        <w:jc w:val="center"/>
        <w:tblLook w:firstColumn="1" w:firstRow="1" w:lastColumn="0" w:lastRow="0" w:noHBand="0" w:noVBand="1" w:val="04A0"/>
      </w:tblPr>
      <w:tblGrid>
        <w:gridCol w:w="9936"/>
      </w:tblGrid>
      <w:tr>
        <w:tc>
          <w:tcPr>
            <w:tcW w:type="dxa" w:w="9936"/>
            <w:shd w:fill="13294B"/>
            <w:tcMar>
              <w:top w:w="140" w:type="dxa"/>
              <w:bottom w:w="140" w:type="dxa"/>
              <w:left w:w="220" w:type="dxa"/>
              <w:right w:w="220" w:type="dxa"/>
            </w:tcMar>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تطبيق الذكاء الاصطناعي في إدارة المخاطر</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تحسين جودة التدقيق باستخدام تقنيات الذكاء الاصطناعي</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تدريب الموظفين على استخدام تقنيات الذكاء الاصطناعي في التدقيق</w:t>
            </w:r>
          </w:p>
        </w:tc>
      </w:tr>
    </w:tbl>
    <w:p>
      <w:pPr>
        <w:spacing w:after="160"/>
      </w:pPr>
    </w:p>
    <w:tbl>
      <w:tblPr>
        <w:tblW w:type="auto" w:w="0"/>
        <w:jc w:val="center"/>
        <w:tblLook w:firstColumn="1" w:firstRow="1" w:lastColumn="0" w:lastRow="0" w:noHBand="0" w:noVBand="1" w:val="04A0"/>
      </w:tblPr>
      <w:tblGrid>
        <w:gridCol w:w="2484"/>
        <w:gridCol w:w="2484"/>
        <w:gridCol w:w="2484"/>
        <w:gridCol w:w="2484"/>
      </w:tblGrid>
      <w:tr>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إجمالي التحديثات</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معايير جديدة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أولوية عالية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المجالات المغطاة</w:t>
            </w:r>
          </w:p>
        </w:tc>
      </w:tr>
      <w:tr>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2</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8C1D1D"/>
                <w:sz w:val="36"/>
              </w:rPr>
              <w:t>2</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r>
    </w:tbl>
    <w:p>
      <w:pPr>
        <w:spacing w:after="160"/>
      </w:pPr>
    </w:p>
    <w:p>
      <w:pPr>
        <w:bidi/>
      </w:pPr>
      <w:r>
        <w:rPr>
          <w:rFonts w:ascii="Carlito" w:hAnsi="Carlito" w:cs="Amiri" w:eastAsia="Amiri"/>
          <w:b/>
          <w:i w:val="0"/>
          <w:color w:val="13294B"/>
          <w:sz w:val="26"/>
        </w:rPr>
        <w:t>🔢 رقم الأسبوع</w:t>
      </w:r>
    </w:p>
    <w:tbl>
      <w:tblPr>
        <w:tblW w:type="auto" w:w="0"/>
        <w:jc w:val="center"/>
        <w:tblLook w:firstColumn="1" w:firstRow="1" w:lastColumn="0" w:lastRow="0" w:noHBand="0" w:noVBand="1" w:val="04A0"/>
      </w:tblPr>
      <w:tblGrid>
        <w:gridCol w:w="9936"/>
      </w:tblGrid>
      <w:tr>
        <w:tc>
          <w:tcPr>
            <w:tcW w:type="dxa" w:w="9936"/>
            <w:shd w:fill="FBF9F4"/>
            <w:tcMar>
              <w:top w:w="160" w:type="dxa"/>
              <w:bottom w:w="160" w:type="dxa"/>
              <w:left w:w="220" w:type="dxa"/>
              <w:right w:w="220" w:type="dxa"/>
            </w:tcMar>
            <w:tcBorders>
              <w:right w:val="single" w:sz="20" w:space="0" w:color="C9A227"/>
            </w:tcBorders>
          </w:tcPr>
          <w:p>
            <w:pPr>
              <w:bidi/>
            </w:pPr>
            <w:r>
              <w:rPr>
                <w:rFonts w:ascii="Carlito" w:hAnsi="Carlito" w:cs="Amiri" w:eastAsia="Amiri"/>
                <w:b/>
                <w:i w:val="0"/>
                <w:color w:val="13294B"/>
                <w:sz w:val="56"/>
              </w:rPr>
              <w:t>2026</w:t>
            </w:r>
          </w:p>
          <w:p>
            <w:pPr>
              <w:bidi/>
              <w:spacing w:before="120" w:line="312" w:lineRule="auto"/>
            </w:pPr>
            <w:r>
              <w:rPr>
                <w:rFonts w:ascii="Carlito" w:hAnsi="Carlito" w:cs="Amiri" w:eastAsia="Amiri"/>
                <w:b w:val="0"/>
                <w:i w:val="0"/>
                <w:color w:val="1C2430"/>
                <w:sz w:val="22"/>
              </w:rPr>
              <w:t>في عام 2026، تم إطلاق نموذج التدقيق في تنفيذ أهداف التنمية المستدامة (ISAM) من قبل منظمة INTOSAI، وهو نموذج شامل ومتكامل يراعي احتياجات الأجهزة العليا للرقابة المالية والمحاسبة.</w:t>
            </w:r>
          </w:p>
          <w:p>
            <w:pPr>
              <w:bidi/>
              <w:spacing w:before="12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منظمة INTOSAI</w:t>
              </w:r>
            </w:hyperlink>
          </w:p>
        </w:tc>
      </w:tr>
    </w:tbl>
    <w:p>
      <w:pPr>
        <w:spacing w:after="160"/>
      </w:pPr>
    </w:p>
    <w:p>
      <w:pPr>
        <w:bidi/>
      </w:pPr>
      <w:r>
        <w:rPr>
          <w:rFonts w:ascii="Carlito" w:hAnsi="Carlito" w:cs="Amiri" w:eastAsia="Amiri"/>
          <w:b/>
          <w:i w:val="0"/>
          <w:color w:val="13294B"/>
          <w:sz w:val="26"/>
        </w:rPr>
        <w:t>🆕 رادار المعايير والإصدارات الجديدة</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FFFFFF"/>
            <w:tcMar>
              <w:top w:w="140" w:type="dxa"/>
              <w:bottom w:w="140" w:type="dxa"/>
              <w:left w:w="200" w:type="dxa"/>
              <w:right w:w="200" w:type="dxa"/>
            </w:tcMar>
            <w:tcBorders>
              <w:right w:val="single" w:sz="20" w:space="0" w:color="8A6D1A"/>
            </w:tcBorders>
            <w:tcBorders>
              <w:top w:val="single" w:sz="4" w:space="0" w:color="D8D2C2"/>
              <w:bottom w:val="single" w:sz="4" w:space="0" w:color="D8D2C2"/>
              <w:left w:val="single" w:sz="4" w:space="0" w:color="D8D2C2"/>
            </w:tcBorders>
          </w:tcPr>
          <w:p>
            <w:pPr>
              <w:bidi/>
            </w:pPr>
            <w:r>
              <w:rPr>
                <w:rFonts w:ascii="Carlito" w:hAnsi="Carlito" w:cs="Amiri" w:eastAsia="Amiri"/>
                <w:b/>
                <w:i w:val="0"/>
                <w:color w:val="13294B"/>
                <w:sz w:val="25"/>
              </w:rPr>
              <w:t>Strengthening the Risk-Based Audit Framework: Proposed Revisions to ISA 330, ISA 500, and ISA 520</w:t>
            </w:r>
            <w:r>
              <w:rPr>
                <w:rFonts w:ascii="Carlito" w:hAnsi="Carlito" w:cs="Amiri" w:eastAsia="Amiri"/>
                <w:b/>
                <w:i w:val="0"/>
                <w:color w:val="8A6D1A"/>
                <w:sz w:val="19"/>
              </w:rPr>
              <w:t xml:space="preserve">  [IAASB | مسودة للتعليق]</w:t>
            </w:r>
          </w:p>
          <w:p>
            <w:pPr>
              <w:bidi/>
              <w:spacing w:before="60"/>
            </w:pPr>
            <w:r>
              <w:rPr>
                <w:rFonts w:ascii="Carlito" w:hAnsi="Carlito" w:cs="Amiri" w:eastAsia="Amiri"/>
                <w:b w:val="0"/>
                <w:i/>
                <w:color w:val="5B6472"/>
                <w:sz w:val="18"/>
              </w:rPr>
              <w:t>الإصدار: 2026-08-05  |  آخر أجل للتعليق: 2026-12-15</w:t>
            </w:r>
          </w:p>
          <w:p>
            <w:pPr>
              <w:bidi/>
              <w:spacing w:before="120" w:line="312" w:lineRule="auto"/>
            </w:pPr>
            <w:r>
              <w:rPr>
                <w:rFonts w:ascii="Carlito" w:hAnsi="Carlito" w:cs="Amiri" w:eastAsia="Amiri"/>
                <w:b w:val="0"/>
                <w:i w:val="0"/>
                <w:color w:val="1C2430"/>
                <w:sz w:val="21"/>
              </w:rPr>
              <w:t>تم تقديم مسودات تعديلات مقترحة لمعايير التدقيق ISA 330، ISA 500، وISA 520 بهدف تعزيز إطار التدقيق القائم على المخاطر.</w:t>
            </w:r>
          </w:p>
          <w:p>
            <w:pPr>
              <w:bidi/>
              <w:spacing w:before="80"/>
            </w:pPr>
            <w:r>
              <w:rPr>
                <w:rFonts w:ascii="Carlito" w:hAnsi="Carlito" w:cs="Amiri" w:eastAsia="Amiri"/>
                <w:b/>
                <w:i w:val="0"/>
                <w:color w:val="13294B"/>
                <w:sz w:val="20"/>
              </w:rPr>
              <w:t xml:space="preserve">لماذا يهمكم: </w:t>
            </w:r>
            <w:r>
              <w:rPr>
                <w:rFonts w:ascii="Carlito" w:hAnsi="Carlito" w:cs="Amiri" w:eastAsia="Amiri"/>
                <w:b w:val="0"/>
                <w:i w:val="0"/>
                <w:color w:val="1C2430"/>
                <w:sz w:val="20"/>
              </w:rPr>
              <w:t>هذه التعديلات ستساعد المدققين في تحسين جودة التدقيق وتعزيز إدارة المخاطر.</w:t>
            </w:r>
          </w:p>
          <w:p>
            <w:pPr>
              <w:bidi/>
              <w:spacing w:before="160"/>
            </w:pPr>
            <w:r>
              <w:rPr>
                <w:rFonts w:ascii="Carlito" w:hAnsi="Carlito" w:cs="Amiri" w:eastAsia="Amiri"/>
                <w:b/>
                <w:i w:val="0"/>
                <w:color w:val="C9A227"/>
                <w:sz w:val="22"/>
              </w:rPr>
              <w:t xml:space="preserve">⬇ </w:t>
            </w:r>
            <w:hyperlink r:id="rId11">
              <w:r>
                <w:rPr>
                  <w:rFonts w:ascii="Carlito" w:hAnsi="Carlito" w:cs="Amiri" w:eastAsia="Amiri"/>
                  <w:sz w:val="22"/>
                  <w:b/>
                  <w:u w:val="single"/>
                  <w:color w:val="C9A227"/>
                </w:rPr>
                <w:t>تحميل / الاطلاع على IAASB</w:t>
              </w:r>
            </w:hyperlink>
          </w:p>
        </w:tc>
      </w:tr>
    </w:tbl>
    <w:p>
      <w:pPr>
        <w:spacing w:after="120"/>
      </w:pPr>
    </w:p>
    <w:p>
      <w:pPr>
        <w:bidi/>
      </w:pPr>
      <w:r>
        <w:rPr>
          <w:rFonts w:ascii="Carlito" w:hAnsi="Carlito" w:cs="Amiri" w:eastAsia="Amiri"/>
          <w:b/>
          <w:i w:val="0"/>
          <w:color w:val="13294B"/>
          <w:sz w:val="26"/>
        </w:rPr>
        <w:t>✍️ ورشة الصياغة</w:t>
      </w:r>
    </w:p>
    <w:p>
      <w:pPr>
        <w:bidi/>
        <w:spacing w:after="80"/>
      </w:pPr>
      <w:r>
        <w:rPr>
          <w:rFonts w:ascii="Carlito" w:hAnsi="Carlito" w:cs="Amiri" w:eastAsia="Amiri"/>
          <w:b w:val="0"/>
          <w:i/>
          <w:color w:val="5B6472"/>
          <w:sz w:val="20"/>
        </w:rPr>
        <w:t>هذا الأسبوع: الجداول التحليلية والرسوم البيانية</w:t>
      </w:r>
    </w:p>
    <w:tbl>
      <w:tblPr>
        <w:tblW w:type="auto" w:w="0"/>
        <w:jc w:val="center"/>
        <w:tblLook w:firstColumn="1" w:firstRow="1" w:lastColumn="0" w:lastRow="0" w:noHBand="0" w:noVBand="1" w:val="04A0"/>
      </w:tblPr>
      <w:tblGrid>
        <w:gridCol w:w="9936"/>
      </w:tblGrid>
      <w:tr>
        <w:tc>
          <w:tcPr>
            <w:tcW w:type="dxa" w:w="9936"/>
            <w:shd w:fill="FBF9F4"/>
            <w:tcMar>
              <w:top w:w="140" w:type="dxa"/>
              <w:bottom w:w="140" w:type="dxa"/>
              <w:left w:w="200" w:type="dxa"/>
              <w:right w:w="200" w:type="dxa"/>
            </w:tcMar>
            <w:tcBorders>
              <w:right w:val="single" w:sz="20" w:space="0" w:color="C9A227"/>
            </w:tcBorders>
          </w:tcPr>
          <w:p>
            <w:pPr>
              <w:bidi/>
              <w:spacing w:line="312" w:lineRule="auto"/>
            </w:pPr>
            <w:r>
              <w:rPr>
                <w:rFonts w:ascii="Carlito" w:hAnsi="Carlito" w:cs="Amiri" w:eastAsia="Amiri"/>
                <w:b w:val="0"/>
                <w:i w:val="0"/>
                <w:color w:val="1C2430"/>
                <w:sz w:val="21"/>
              </w:rPr>
              <w:t>عنوان أي جدول أو رسم بياني يجب أن يقول "ماذا يعني هذا الرقم" لا "ماذا يعرض هذا الرسم" فقط. عنوان وصفي محايد يترك القارئ يستنتج بنفسه؛ عنوان تحليلي يوصل الرسالة فورًا حتى لمن ينظر للعنوان فقط دون قراءة الرسم بالكامل.</w:t>
            </w:r>
          </w:p>
          <w:p>
            <w:pPr>
              <w:bidi/>
              <w:spacing w:before="160"/>
            </w:pPr>
            <w:r>
              <w:rPr>
                <w:rFonts w:ascii="Carlito" w:hAnsi="Carlito" w:cs="Amiri" w:eastAsia="Amiri"/>
                <w:b/>
                <w:i w:val="0"/>
                <w:color w:val="8C1D1D"/>
                <w:sz w:val="20"/>
              </w:rPr>
              <w:t xml:space="preserve">❌ صياغة ضعيفة: </w:t>
            </w:r>
            <w:r>
              <w:rPr>
                <w:rFonts w:ascii="Carlito" w:hAnsi="Carlito" w:cs="Amiri" w:eastAsia="Amiri"/>
                <w:b w:val="0"/>
                <w:i/>
                <w:color w:val="5B6472"/>
                <w:sz w:val="20"/>
              </w:rPr>
              <w:t>عنوان الرسم البياني: "نسب الالتزام بمهل التسليم الشهرية (يناير - يونيو 2026)"</w:t>
            </w:r>
          </w:p>
          <w:p>
            <w:pPr>
              <w:bidi/>
              <w:spacing w:before="120"/>
            </w:pPr>
            <w:r>
              <w:rPr>
                <w:rFonts w:ascii="Carlito" w:hAnsi="Carlito" w:cs="Amiri" w:eastAsia="Amiri"/>
                <w:b/>
                <w:i w:val="0"/>
                <w:color w:val="1E6B3E"/>
                <w:sz w:val="20"/>
              </w:rPr>
              <w:t xml:space="preserve">✅ صياغة قوية: </w:t>
            </w:r>
            <w:r>
              <w:rPr>
                <w:rFonts w:ascii="Carlito" w:hAnsi="Carlito" w:cs="Amiri" w:eastAsia="Amiri"/>
                <w:b w:val="0"/>
                <w:i w:val="0"/>
                <w:color w:val="1C2430"/>
                <w:sz w:val="20"/>
              </w:rPr>
              <w:t>عنوان الرسم البياني: "تراجع الالتزام بمهل التسليم من 92% إلى 74% خلال ستة أشهر — الانحدار الأحد في مارس بعد تغيير المورّد الرئيسي"</w:t>
            </w:r>
          </w:p>
          <w:p>
            <w:pPr>
              <w:bidi/>
              <w:spacing w:before="120"/>
            </w:pPr>
            <w:r>
              <w:rPr>
                <w:rFonts w:ascii="Carlito" w:hAnsi="Carlito" w:cs="Amiri" w:eastAsia="Amiri"/>
                <w:b/>
                <w:i w:val="0"/>
                <w:color w:val="13294B"/>
                <w:sz w:val="19"/>
              </w:rPr>
              <w:t xml:space="preserve">لماذا الفرق مهم: </w:t>
            </w:r>
            <w:r>
              <w:rPr>
                <w:rFonts w:ascii="Carlito" w:hAnsi="Carlito" w:cs="Amiri" w:eastAsia="Amiri"/>
                <w:b w:val="0"/>
                <w:i w:val="0"/>
                <w:color w:val="1C2430"/>
                <w:sz w:val="19"/>
              </w:rPr>
              <w:t>العنوان الأول محايد تمامًا ولا يوصل أي رسالة بحد ذاته — يحتاج القارئ لدراسة الرسم كاملاً ليكتشف الاتجاه والسبب المحتمل. العنوان الثاني يوصل النتيجة والفرضية السببية فورًا؛ حتى قارئ يتصفح التقرير بسرعة يلتقط الرسالة الجوهرية من العنوان وحده.</w:t>
            </w:r>
          </w:p>
        </w:tc>
      </w:tr>
    </w:tbl>
    <w:p>
      <w:pPr>
        <w:spacing w:after="160"/>
      </w:pPr>
    </w:p>
    <w:p>
      <w:pPr>
        <w:bidi/>
      </w:pPr>
      <w:r>
        <w:rPr>
          <w:rFonts w:ascii="Carlito" w:hAnsi="Carlito" w:cs="Amiri" w:eastAsia="Amiri"/>
          <w:b/>
          <w:i w:val="0"/>
          <w:color w:val="13294B"/>
          <w:sz w:val="26"/>
        </w:rPr>
        <w:t>🧠 ومضة إدارية — أخلاقيات المهنة والاستقلالية في التدقيق (Professional Ethics &amp; Independence – IIA Code of Ethics)</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تقوم مدونة أخلاقيات معهد المدققين الداخليين (IIA) على أربعة مبادئ، لكن أهم درس عملي فيها للمبتدئ هو التمييز بين مفهومين يُخلَط بينهما كثيرًا: الاستقلالية التنظيمية (Independence) والموضوعية الفردية (Objectivity) — وكلاهما ضروري معًا، لا أحدهما بمعزل عن الآخر.</w:t>
            </w:r>
          </w:p>
          <w:p>
            <w:pPr>
              <w:bidi/>
              <w:spacing w:line="312" w:lineRule="auto" w:before="120"/>
            </w:pPr>
            <w:r>
              <w:rPr>
                <w:rFonts w:ascii="Carlito" w:hAnsi="Carlito" w:cs="Amiri" w:eastAsia="Amiri"/>
                <w:b w:val="0"/>
                <w:i w:val="0"/>
                <w:color w:val="1C2430"/>
                <w:sz w:val="22"/>
              </w:rPr>
              <w:t>الاستقلالية التنظيمية تعني أن وظيفة التدقيق الداخلي، كوحدة، لا تتبع إداريًا لمن تراقبه — عمليًا يعني هذا تبعية تقرير مباشرة للجنة التدقيق أو مجلس الإدارة، لا للرئيس التنفيذي أو أي إدارة تنفيذية أخرى يُفترض أن تُدقِّق أعمالها. الموضوعية الفردية مختلفة: حتى لو كانت الوحدة مستقلة تنظيميًا بشكل مثالي، قد يفقد مدقق فردي موضوعيته لأسباب شخصية — صداقة قديمة بمسؤول الوحدة المدقَّقة، تدقيق عملية شارك هو نفسه في تصميمها قبل عامين، أو حتى مجرد رغبة في تجنب مواجهة غير مريحة.</w:t>
            </w:r>
          </w:p>
          <w:p>
            <w:pPr>
              <w:bidi/>
              <w:spacing w:line="312" w:lineRule="auto" w:before="120"/>
            </w:pPr>
            <w:r>
              <w:rPr>
                <w:rFonts w:ascii="Carlito" w:hAnsi="Carlito" w:cs="Amiri" w:eastAsia="Amiri"/>
                <w:b w:val="0"/>
                <w:i w:val="0"/>
                <w:color w:val="1C2430"/>
                <w:sz w:val="22"/>
              </w:rPr>
              <w:t>مثال عملي: مدقق داخلي في مؤسسة مستقلة تنظيميًا تمامًا (تتبع للجنة التدقيق كما ينبغي) يُكلَّف بمراجعة قسم كان يعمل فيه هو شخصيًا قبل انتقاله لوحدة التدقيق قبل ستة أشهر فقط. الاستقلالية التنظيمية للوحدة سليمة تمامًا، لكن الموضوعية الفردية لهذا المدقق تحديدًا مهددة — فهو قد يميل لا شعوريًا للتساهل مع زملاء سابقين، أو للعكس، الإفراط في الصرامة لإثبات حياده. المبدأ المهني السليم هنا: الإفصاح الفوري عن هذا التضارب المحتمل وطلب إعادة تكليف المهمة لمدقق آخر، لا الاعتماد على "حسن النية الشخصية" وحدها.</w:t>
            </w:r>
          </w:p>
          <w:p>
            <w:pPr>
              <w:bidi/>
              <w:spacing w:line="312" w:lineRule="auto" w:before="120"/>
            </w:pPr>
            <w:r>
              <w:rPr>
                <w:rFonts w:ascii="Carlito" w:hAnsi="Carlito" w:cs="Amiri" w:eastAsia="Amiri"/>
                <w:b w:val="0"/>
                <w:i w:val="0"/>
                <w:color w:val="1C2430"/>
                <w:sz w:val="22"/>
              </w:rPr>
              <w:t>مبدأ السرّية أيضًا له حدود مهمة: لا يعني إخفاء نتائج جوهرية عن جهة يحق لها نظامًا الاطلاع عليها (كلجنة التدقيق)، بل يعني عدم إفشاء المعلومات لأطراف لا علاقة لها بالمهمة.</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ميّزوا دومًا: الاستقلالية التنظيمية (تبعية الوحدة) والموضوعية الفردية (حياد الشخص) شرطان منفصلان، كلاهما ضروري معًا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أفصحوا فورًا وكتابيًا عن أي تضارب مصالح محتمل (صداقة، عمل سابق في نفس الوحدة)، مهما بدا بسيطًا أو غير مؤثر في نظركم</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السرّية المهنية لا تعني إخفاء نتائج جوهرية عن لجنة التدقيق أو من يحق له الاطلاع عليها نظامًا — لها حدود واضحة</w:t>
            </w:r>
          </w:p>
        </w:tc>
      </w:tr>
    </w:tbl>
    <w:p>
      <w:pPr>
        <w:spacing w:after="160"/>
      </w:pPr>
    </w:p>
    <w:p>
      <w:pPr>
        <w:bidi/>
      </w:pPr>
      <w:r>
        <w:rPr>
          <w:rFonts w:ascii="Carlito" w:hAnsi="Carlito" w:cs="Amiri" w:eastAsia="Amiri"/>
          <w:b/>
          <w:i w:val="0"/>
          <w:color w:val="13294B"/>
          <w:sz w:val="26"/>
        </w:rPr>
        <w:t>📖 مصطلح الأسبوع</w:t>
      </w:r>
    </w:p>
    <w:tbl>
      <w:tblPr>
        <w:tblW w:type="auto" w:w="0"/>
        <w:jc w:val="center"/>
        <w:tblLook w:firstColumn="1" w:firstRow="1" w:lastColumn="0" w:lastRow="0" w:noHBand="0" w:noVBand="1" w:val="04A0"/>
      </w:tblPr>
      <w:tblGrid>
        <w:gridCol w:w="9936"/>
      </w:tblGrid>
      <w:tr>
        <w:tc>
          <w:tcPr>
            <w:tcW w:type="dxa" w:w="9936"/>
            <w:shd w:fill="13294B"/>
            <w:tcMar>
              <w:top w:w="120" w:type="dxa"/>
              <w:bottom w:w="120" w:type="dxa"/>
              <w:left w:w="200" w:type="dxa"/>
              <w:right w:w="200" w:type="dxa"/>
            </w:tcMar>
          </w:tcPr>
          <w:p>
            <w:pPr>
              <w:bidi/>
            </w:pPr>
            <w:r>
              <w:rPr>
                <w:rFonts w:ascii="Carlito" w:hAnsi="Carlito" w:cs="Amiri" w:eastAsia="Amiri"/>
                <w:b/>
                <w:i w:val="0"/>
                <w:color w:val="FFFFFF"/>
                <w:sz w:val="26"/>
              </w:rPr>
              <w:t xml:space="preserve">المسار الرقابي (أثر التدقيق)  </w:t>
            </w:r>
            <w:r>
              <w:rPr>
                <w:rFonts w:ascii="Carlito" w:hAnsi="Carlito" w:cs="Amiri" w:eastAsia="Amiri"/>
                <w:b w:val="0"/>
                <w:i/>
                <w:color w:val="E8D9A0"/>
                <w:sz w:val="22"/>
              </w:rPr>
              <w:t>(Audit Trail)</w:t>
            </w:r>
          </w:p>
          <w:p>
            <w:pPr>
              <w:bidi/>
              <w:spacing w:before="120" w:line="312" w:lineRule="auto"/>
            </w:pPr>
            <w:r>
              <w:rPr>
                <w:rFonts w:ascii="Carlito" w:hAnsi="Carlito" w:cs="Amiri" w:eastAsia="Amiri"/>
                <w:b w:val="0"/>
                <w:i w:val="0"/>
                <w:color w:val="FFFFFF"/>
                <w:sz w:val="21"/>
              </w:rPr>
              <w:t>سلسلة موثّقة ومتصلة من الأدلة تتيح تتبّع أي معاملة أو قرار من نقطة نشوئه الأولى وحتى انعكاسه النهائي الكامل في السجلات المالية أو الإدارية.</w:t>
            </w:r>
          </w:p>
          <w:p>
            <w:pPr>
              <w:bidi/>
              <w:spacing w:before="120"/>
            </w:pPr>
            <w:r>
              <w:rPr>
                <w:rFonts w:ascii="Carlito" w:hAnsi="Carlito" w:cs="Amiri" w:eastAsia="Amiri"/>
                <w:b/>
                <w:i w:val="0"/>
                <w:color w:val="E8D9A0"/>
                <w:sz w:val="19"/>
              </w:rPr>
              <w:t xml:space="preserve">في الممارسة: </w:t>
            </w:r>
            <w:r>
              <w:rPr>
                <w:rFonts w:ascii="Carlito" w:hAnsi="Carlito" w:cs="Amiri" w:eastAsia="Amiri"/>
                <w:b w:val="0"/>
                <w:i/>
                <w:color w:val="E8D9A0"/>
                <w:sz w:val="19"/>
              </w:rPr>
              <w:t>غياب مسار رقابي واضح وكامل لمعاملة كبيرة القيمة مؤشر إنذار بحد ذاته، بصرف النظر تمامًا عن طبيعة المعاملة نفسها أو حتى صحتها الظاهرية.</w:t>
            </w:r>
          </w:p>
        </w:tc>
      </w:tr>
    </w:tbl>
    <w:p>
      <w:pPr>
        <w:spacing w:after="160"/>
      </w:pPr>
    </w:p>
    <w:p>
      <w:pPr>
        <w:bidi/>
      </w:pPr>
      <w:r>
        <w:rPr>
          <w:rFonts w:ascii="Carlito" w:hAnsi="Carlito" w:cs="Amiri" w:eastAsia="Amiri"/>
          <w:b/>
          <w:i w:val="0"/>
          <w:color w:val="13294B"/>
          <w:sz w:val="26"/>
        </w:rPr>
        <w:t>📌 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تدقيق الداخلية  </w:t>
            </w:r>
            <w:r>
              <w:rPr>
                <w:rFonts w:ascii="Carlito" w:hAnsi="Carlito" w:cs="Amiri" w:eastAsia="Amiri"/>
                <w:b/>
                <w:i w:val="0"/>
                <w:color w:val="E8D9A0"/>
                <w:sz w:val="20"/>
              </w:rPr>
              <w:t xml:space="preserve"> 🟠 [تدقيق الداخلية | عالٍ]</w:t>
            </w:r>
          </w:p>
          <w:p>
            <w:pPr>
              <w:spacing w:before="40"/>
              <w:jc w:val="right"/>
              <w:bidi/>
            </w:pPr>
            <w:r>
              <w:rPr>
                <w:rFonts w:ascii="Carlito" w:hAnsi="Carlito" w:cs="Amiri" w:eastAsia="Amiri"/>
                <w:b w:val="0"/>
                <w:i/>
                <w:color w:val="E8D9A0"/>
                <w:sz w:val="17"/>
              </w:rPr>
              <w:t>🎓 المهارة المكتسبة: تحليل تقارير COSO</w:t>
            </w:r>
          </w:p>
        </w:tc>
      </w:tr>
    </w:tbl>
    <w:p>
      <w:pPr>
        <w:bidi/>
        <w:spacing w:before="80"/>
      </w:pPr>
      <w:r>
        <w:rPr>
          <w:rFonts w:ascii="Carlito" w:hAnsi="Carlito" w:cs="Amiri" w:eastAsia="Amiri"/>
          <w:b/>
          <w:i w:val="0"/>
          <w:color w:val="13294B"/>
          <w:sz w:val="24"/>
        </w:rPr>
        <w:t>تطبيق الذكاء الاصطناعي في إدارة المخاطر</w:t>
      </w:r>
    </w:p>
    <w:p>
      <w:pPr>
        <w:bidi/>
        <w:spacing w:line="312" w:lineRule="auto" w:after="120"/>
      </w:pPr>
      <w:r>
        <w:rPr>
          <w:rFonts w:ascii="Carlito" w:hAnsi="Carlito" w:cs="Amiri" w:eastAsia="Amiri"/>
          <w:b w:val="0"/>
          <w:i w:val="0"/>
          <w:color w:val="1C2430"/>
          <w:sz w:val="22"/>
        </w:rPr>
        <w:t>تطبيق الذكاء الاصطناعي في إدارة المخاطر يمكن أن يزيد من دقة التدقيق ويعزز إدارة المخاطر. يجب على الموظفين التدريب على استخدام هذه التقنيات.</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B554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تقنيات الذكاء الاصطناعي يمكن أن تحسين جودة التدقيق وتقليل المخاطر.</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مراجعة المقالات المتعلقة بتطبيق الذكاء الاصطناعي في إدارة المخاطر وتدريب الموظفين على استخدام هذه التقنيات.</w:t>
            </w:r>
          </w:p>
          <w:p>
            <w:pPr>
              <w:bidi/>
              <w:spacing w:before="80"/>
            </w:pPr>
            <w:r>
              <w:rPr>
                <w:rFonts w:ascii="Carlito" w:hAnsi="Carlito" w:cs="Amiri" w:eastAsia="Amiri"/>
                <w:b/>
                <w:i w:val="0"/>
                <w:color w:val="5B6472"/>
                <w:sz w:val="19"/>
              </w:rPr>
              <w:t xml:space="preserve">المصدر: </w:t>
            </w:r>
            <w:hyperlink r:id="rId12">
              <w:r>
                <w:rPr>
                  <w:rFonts w:ascii="Carlito" w:hAnsi="Carlito" w:cs="Amiri" w:eastAsia="Amiri"/>
                  <w:sz w:val="19"/>
                  <w:u w:val="single"/>
                  <w:color w:val="C9A227"/>
                </w:rPr>
                <w:t>OCEG</w:t>
              </w:r>
            </w:hyperlink>
          </w:p>
        </w:tc>
      </w:tr>
    </w:tbl>
    <w:p>
      <w:pPr>
        <w:spacing w:after="200"/>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تدقيق الداخلية  </w:t>
            </w:r>
            <w:r>
              <w:rPr>
                <w:rFonts w:ascii="Carlito" w:hAnsi="Carlito" w:cs="Amiri" w:eastAsia="Amiri"/>
                <w:b/>
                <w:i w:val="0"/>
                <w:color w:val="E8D9A0"/>
                <w:sz w:val="20"/>
              </w:rPr>
              <w:t xml:space="preserve"> 🟠 [تدقيق الداخلية | عالٍ]</w:t>
            </w:r>
          </w:p>
          <w:p>
            <w:pPr>
              <w:spacing w:before="40"/>
              <w:jc w:val="right"/>
              <w:bidi/>
            </w:pPr>
            <w:r>
              <w:rPr>
                <w:rFonts w:ascii="Carlito" w:hAnsi="Carlito" w:cs="Amiri" w:eastAsia="Amiri"/>
                <w:b w:val="0"/>
                <w:i/>
                <w:color w:val="E8D9A0"/>
                <w:sz w:val="17"/>
              </w:rPr>
              <w:t>🎓 المهارة المكتسبة: فهم Exposure Drafts</w:t>
            </w:r>
          </w:p>
        </w:tc>
      </w:tr>
    </w:tbl>
    <w:p>
      <w:pPr>
        <w:bidi/>
        <w:spacing w:before="80"/>
      </w:pPr>
      <w:r>
        <w:rPr>
          <w:rFonts w:ascii="Carlito" w:hAnsi="Carlito" w:cs="Amiri" w:eastAsia="Amiri"/>
          <w:b/>
          <w:i w:val="0"/>
          <w:color w:val="13294B"/>
          <w:sz w:val="24"/>
        </w:rPr>
        <w:t>تحسين جودة التدقيق باستخدام تقنيات الذكاء الاصطناعي</w:t>
      </w:r>
    </w:p>
    <w:p>
      <w:pPr>
        <w:bidi/>
        <w:spacing w:line="312" w:lineRule="auto" w:after="120"/>
      </w:pPr>
      <w:r>
        <w:rPr>
          <w:rFonts w:ascii="Carlito" w:hAnsi="Carlito" w:cs="Amiri" w:eastAsia="Amiri"/>
          <w:b w:val="0"/>
          <w:i w:val="0"/>
          <w:color w:val="1C2430"/>
          <w:sz w:val="22"/>
        </w:rPr>
        <w:t>تقنيات الذكاء الاصطناعي يمكن أن تحسن جودة التدقيق وتقليل الوقت اللازم للتحليل. يجب على الموظفين التدريب على استخدام هذه التقنيات.</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B554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تحسين جودة التدقيق يمكن أن يزيد من ثقة المستثمرين ويقلل من المخاطر.</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مراجعة المقالات المتعلقة باستخدام تقنيات الذكاء الاصطناعي في التدقيق وتدريب الموظفين على استخدام هذه التقنيات.</w:t>
            </w:r>
          </w:p>
          <w:p>
            <w:pPr>
              <w:bidi/>
              <w:spacing w:before="80"/>
            </w:pPr>
            <w:r>
              <w:rPr>
                <w:rFonts w:ascii="Carlito" w:hAnsi="Carlito" w:cs="Amiri" w:eastAsia="Amiri"/>
                <w:b/>
                <w:i w:val="0"/>
                <w:color w:val="5B6472"/>
                <w:sz w:val="19"/>
              </w:rPr>
              <w:t xml:space="preserve">المصدر: </w:t>
            </w:r>
            <w:hyperlink r:id="rId13">
              <w:r>
                <w:rPr>
                  <w:rFonts w:ascii="Carlito" w:hAnsi="Carlito" w:cs="Amiri" w:eastAsia="Amiri"/>
                  <w:sz w:val="19"/>
                  <w:u w:val="single"/>
                  <w:color w:val="C9A227"/>
                </w:rPr>
                <w:t>ISACA</w:t>
              </w:r>
            </w:hyperlink>
          </w:p>
        </w:tc>
      </w:tr>
    </w:tbl>
    <w:p>
      <w:pPr>
        <w:spacing w:after="200"/>
      </w:pPr>
    </w:p>
    <w:p>
      <w:pPr>
        <w:bidi/>
      </w:pPr>
      <w:r>
        <w:rPr>
          <w:rFonts w:ascii="Carlito" w:hAnsi="Carlito" w:cs="Amiri" w:eastAsia="Amiri"/>
          <w:b/>
          <w:i w:val="0"/>
          <w:color w:val="13294B"/>
          <w:sz w:val="26"/>
        </w:rPr>
        <w:t>🧭 مقترحات لمهام تدقيق</w:t>
      </w:r>
    </w:p>
    <w:p>
      <w:pPr>
        <w:bidi/>
        <w:spacing w:after="120"/>
      </w:pPr>
      <w:r>
        <w:rPr>
          <w:rFonts w:ascii="Carlito" w:hAnsi="Carlito" w:cs="Amiri" w:eastAsia="Amiri"/>
          <w:b w:val="0"/>
          <w:i/>
          <w:color w:val="5B6472"/>
          <w:sz w:val="19"/>
        </w:rPr>
        <w:t>أفكار جاهزة لخطة عملكم القادمة — عناصر أساسية، لا مجرد عناوين</w:t>
      </w: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فعالية إدارة عقود الاستشاريين والخبراء الخارجيين</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التأكد من أن الاستعانة بخبرات استشارية خارجية تحقق القيمة المتوقعة فعليًا، لا مجرد إنفاق مُبرَّر شكليًا.</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يوجد تبرير موثق لكل تعاقد استشاري يوضح لماذا لا تكفي الكفاءة الداخلية المتاحة؟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مخرجات كل عقد استشاري محددة بوضوح قابل للقياس (Deliverables) في العقد نفسه، أم بصياغة عامة فضفاضة؟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تُقيَّم جودة العمل الاستشاري المُسلَّم فعليًا قبل صرف الدفعة النهائية؟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هناك آلية لنقل المعرفة من الاستشاري للفريق الداخلي، أم تُفقَد الخبرة كاملة بانتهاء العقد؟</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عقود استشارية تُجدَّد تلقائيًا لسنوات متتالية دون تقييم أداء موثق فعلي، أو مخرجات وصفية عامة ('تقرير توصيات') دون معايير قبول واضحة محددة سلفًا.</w:t>
            </w:r>
          </w:p>
        </w:tc>
      </w:tr>
    </w:tbl>
    <w:p>
      <w:pPr>
        <w:spacing w:after="120"/>
      </w:pP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مواءمة مؤشرات الأداء الرئيسية مع الأهداف الاستراتيجية الفعلية</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التحقق من أن المؤشرات المُتابَعة فعليًا (لا المُعلَنة فقط) تعكس حقًا الأولويات الاستراتيجية المعتمدة، لا أنشطة سهلة القياس فقط.</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لكل هدف استراتيجي معتمد، هل يوجد مؤشر أداء واحد على الأقل يقيسه مباشرة، أم أن بعض الأهداف بلا أي مؤشر متابَع؟</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المؤشرات المتابَعة فعليًا في التقارير الشهرية تطابق ما نص عليه الوثيقة الاستراتيجية، أم انحرفت عنها بمرور الوقت؟</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كم مؤشرًا من إجمالي المؤشرات المُتابَعة يقيس نتيجة (Outcome) فعلية مقابل نشاط (Output) فقط؟</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تُتخذ قرارات فعلية موثقة بناءً على تحرك هذه المؤشرات، أم تُعرَض فقط دون أثر ملموس؟</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أهداف استراتيجية طموحة ("الريادة في القطاع") بلا أي مؤشر كمي مرتبط بها إطلاقًا، أو مؤشرات تتغير تعريفاتها من سنة لأخرى بما يسهّل "تحقيقها" شكليًا.</w:t>
            </w:r>
          </w:p>
        </w:tc>
      </w:tr>
    </w:tbl>
    <w:p>
      <w:pPr>
        <w:spacing w:after="120"/>
      </w:pPr>
    </w:p>
    <w:p>
      <w:pPr>
        <w:bidi/>
      </w:pPr>
      <w:r>
        <w:rPr>
          <w:rFonts w:ascii="Carlito" w:hAnsi="Carlito" w:cs="Amiri" w:eastAsia="Amiri"/>
          <w:b/>
          <w:i w:val="0"/>
          <w:color w:val="13294B"/>
          <w:sz w:val="26"/>
        </w:rPr>
        <w:t>🌱 مسار الاحتراف — كيف يفكّر الكبار</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right w:val="single" w:sz="20" w:space="0" w:color="13294B"/>
            </w:tcBorders>
            <w:tcBorders>
              <w:top w:val="single" w:sz="4" w:space="0" w:color="D8D2C2"/>
              <w:bottom w:val="single" w:sz="4" w:space="0" w:color="D8D2C2"/>
              <w:left w:val="single" w:sz="4" w:space="0" w:color="D8D2C2"/>
            </w:tcBorders>
          </w:tcPr>
          <w:p>
            <w:pPr>
              <w:bidi/>
              <w:spacing w:line="312" w:lineRule="auto"/>
            </w:pPr>
            <w:r>
              <w:rPr>
                <w:rFonts w:ascii="Carlito" w:hAnsi="Carlito" w:cs="Amiri" w:eastAsia="Amiri"/>
                <w:b w:val="0"/>
                <w:i w:val="0"/>
                <w:color w:val="1C2430"/>
                <w:sz w:val="22"/>
              </w:rPr>
              <w:t>بناء شبكة علاقات مهنية بقصد، لا بالصدفة فقط، هو ما يميّز من يتقدّم بسرعة في المسار المهني عن غيره ممن يملك نفس الكفاءة التقنية بالضبط. المعرفة وحدها لا تكفي؛ من يعرفك ويثق بحكمك المهني يفتح لك فرصًا لا تصلك بمجرد الكفاءة الفنية.</w:t>
            </w:r>
          </w:p>
          <w:p>
            <w:pPr>
              <w:bidi/>
              <w:spacing w:before="100"/>
            </w:pPr>
            <w:r>
              <w:rPr>
                <w:rFonts w:ascii="Carlito" w:hAnsi="Carlito" w:cs="Amiri" w:eastAsia="Amiri"/>
                <w:b/>
                <w:i w:val="0"/>
                <w:color w:val="13294B"/>
                <w:sz w:val="20"/>
              </w:rPr>
              <w:t xml:space="preserve">كيف تطبّقها هذا الأسبوع: </w:t>
            </w:r>
            <w:r>
              <w:rPr>
                <w:rFonts w:ascii="Carlito" w:hAnsi="Carlito" w:cs="Amiri" w:eastAsia="Amiri"/>
                <w:b w:val="0"/>
                <w:i/>
                <w:color w:val="5B6472"/>
                <w:sz w:val="20"/>
              </w:rPr>
              <w:t>حدد شهريًا شخصًا واحدًا خارج دائرتك المباشرة (قسم آخر، مستوى أعلى) تستحق معرفته مهنيًا، واطلب لقاءً قصيرًا (15-20 دقيقة) لفهم عمله فعليًا لا لطلب شيء منه مباشرة.</w:t>
            </w:r>
          </w:p>
        </w:tc>
      </w:tr>
    </w:tbl>
    <w:p>
      <w:pPr>
        <w:spacing w:after="120"/>
      </w:pPr>
    </w:p>
    <w:p>
      <w:pPr>
        <w:bidi/>
      </w:pPr>
      <w:r>
        <w:rPr>
          <w:rFonts w:ascii="Carlito" w:hAnsi="Carlito" w:cs="Amiri" w:eastAsia="Amiri"/>
          <w:b/>
          <w:i w:val="0"/>
          <w:color w:val="13294B"/>
          <w:sz w:val="26"/>
        </w:rPr>
        <w:t>⚖️ لحظة توازن</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200" w:type="dxa"/>
              <w:right w:w="200" w:type="dxa"/>
            </w:tcMar>
          </w:tcPr>
          <w:p>
            <w:pPr>
              <w:bidi/>
              <w:spacing w:line="312" w:lineRule="auto"/>
            </w:pPr>
            <w:r>
              <w:rPr>
                <w:rFonts w:ascii="Carlito" w:hAnsi="Carlito" w:cs="Amiri" w:eastAsia="Amiri"/>
                <w:b w:val="0"/>
                <w:i/>
                <w:color w:val="1C2430"/>
                <w:sz w:val="21"/>
              </w:rPr>
              <w:t>خصّص جلسة تقييم قصيرة (Debrief) لا تتجاوز 10 دقائق مع نفسك، أو مع فريقك إن كانت مهمة جماعية، فور إنهاء أي مهمة تدقيق مرهقة — بدل الانتقال مباشرة للمهمة التالية دون التقاط الأنفاس أو استخلاص أي درس مستفاد وأنت ما زلت تتذكر التفاصيل بوضوح.</w:t>
            </w:r>
          </w:p>
        </w:tc>
      </w:tr>
    </w:tbl>
    <w:p>
      <w:pPr>
        <w:spacing w:after="160"/>
      </w:pPr>
    </w:p>
    <w:p>
      <w:pPr>
        <w:bidi/>
      </w:pPr>
      <w:r>
        <w:rPr>
          <w:rFonts w:ascii="Carlito" w:hAnsi="Carlito" w:cs="Amiri" w:eastAsia="Amiri"/>
          <w:b/>
          <w:i w:val="0"/>
          <w:color w:val="13294B"/>
          <w:sz w:val="26"/>
        </w:rPr>
        <w:t>📚 للقراءة هذا الأسبوع</w:t>
      </w:r>
    </w:p>
    <w:p>
      <w:pPr>
        <w:bidi/>
        <w:spacing w:after="80"/>
      </w:pPr>
      <w:r>
        <w:rPr>
          <w:rFonts w:ascii="Carlito" w:hAnsi="Carlito" w:cs="Amiri" w:eastAsia="Amiri"/>
          <w:b w:val="0"/>
          <w:i w:val="0"/>
          <w:color w:val="5B6472"/>
          <w:sz w:val="21"/>
        </w:rPr>
        <w:t xml:space="preserve">• مقال — </w:t>
      </w:r>
      <w:hyperlink r:id="rId14">
        <w:r>
          <w:rPr>
            <w:rFonts w:ascii="Carlito" w:hAnsi="Carlito" w:cs="Amiri" w:eastAsia="Amiri"/>
            <w:sz w:val="21"/>
            <w:b/>
            <w:u w:val="single"/>
            <w:color w:val="C9A227"/>
          </w:rPr>
          <w:t>Audit &amp; Compliance in the Era of AI and Emerging Technology Recording</w:t>
        </w:r>
      </w:hyperlink>
      <w:r>
        <w:rPr>
          <w:rFonts w:ascii="Carlito" w:hAnsi="Carlito" w:cs="Amiri" w:eastAsia="Amiri"/>
          <w:b w:val="0"/>
          <w:i w:val="0"/>
          <w:color w:val="5B6472"/>
          <w:sz w:val="19"/>
        </w:rPr>
        <w:t xml:space="preserve">  (OCEG)</w:t>
      </w:r>
    </w:p>
    <w:p>
      <w:pPr>
        <w:bidi/>
        <w:spacing w:after="80"/>
      </w:pPr>
      <w:r>
        <w:rPr>
          <w:rFonts w:ascii="Carlito" w:hAnsi="Carlito" w:cs="Amiri" w:eastAsia="Amiri"/>
          <w:b w:val="0"/>
          <w:i w:val="0"/>
          <w:color w:val="5B6472"/>
          <w:sz w:val="21"/>
        </w:rPr>
        <w:t xml:space="preserve">• تقرير — </w:t>
      </w:r>
      <w:hyperlink r:id="rId13">
        <w:r>
          <w:rPr>
            <w:rFonts w:ascii="Carlito" w:hAnsi="Carlito" w:cs="Amiri" w:eastAsia="Amiri"/>
            <w:sz w:val="21"/>
            <w:b/>
            <w:u w:val="single"/>
            <w:color w:val="C9A227"/>
          </w:rPr>
          <w:t>ISACA® IT Audit Resources</w:t>
        </w:r>
      </w:hyperlink>
      <w:r>
        <w:rPr>
          <w:rFonts w:ascii="Carlito" w:hAnsi="Carlito" w:cs="Amiri" w:eastAsia="Amiri"/>
          <w:b w:val="0"/>
          <w:i w:val="0"/>
          <w:color w:val="5B6472"/>
          <w:sz w:val="19"/>
        </w:rPr>
        <w:t xml:space="preserve">  (ISACA)</w:t>
      </w:r>
    </w:p>
    <w:p>
      <w:pPr>
        <w:spacing w:before="160" w:after="120"/>
        <w:pBdr>
          <w:bottom w:val="single" w:sz="8" w:space="1" w:color="C9A227"/>
        </w:pBdr>
      </w:pPr>
    </w:p>
    <w:p>
      <w:pPr>
        <w:bidi/>
      </w:pPr>
      <w:r>
        <w:rPr>
          <w:rFonts w:ascii="Carlito" w:hAnsi="Carlito" w:cs="Amiri" w:eastAsia="Amiri"/>
          <w:b/>
          <w:i w:val="0"/>
          <w:color w:val="13294B"/>
          <w:sz w:val="22"/>
        </w:rPr>
        <w:t xml:space="preserve">📕 كتاب الأسبوع: </w:t>
      </w:r>
      <w:r>
        <w:rPr>
          <w:rFonts w:ascii="Carlito" w:hAnsi="Carlito" w:cs="Amiri" w:eastAsia="Amiri"/>
          <w:b/>
          <w:i w:val="0"/>
          <w:color w:val="1C2430"/>
          <w:sz w:val="22"/>
        </w:rPr>
        <w:t>The Fifth Discipline — Peter M. Senge</w:t>
      </w:r>
    </w:p>
    <w:p>
      <w:pPr>
        <w:bidi/>
      </w:pPr>
      <w:r>
        <w:rPr>
          <w:rFonts w:ascii="Carlito" w:hAnsi="Carlito" w:cs="Amiri" w:eastAsia="Amiri"/>
          <w:b w:val="0"/>
          <w:i/>
          <w:color w:val="5B6472"/>
          <w:sz w:val="21"/>
        </w:rPr>
        <w:t>المرجع المؤسس لمفهوم "المؤسسة المتعلّمة"، وأداة التفكير المنظومي لفهم تفاعل أجزاء المؤسسة معًا لا كل جزء بمعزل عن سياقه.</w:t>
      </w:r>
    </w:p>
    <w:p>
      <w:pPr>
        <w:bidi/>
        <w:spacing w:before="80"/>
      </w:pPr>
      <w:r>
        <w:rPr>
          <w:rFonts w:ascii="Carlito" w:hAnsi="Carlito" w:cs="Amiri" w:eastAsia="Amiri"/>
          <w:b/>
          <w:i w:val="0"/>
          <w:color w:val="13294B"/>
          <w:sz w:val="20"/>
        </w:rPr>
        <w:t xml:space="preserve">💡 طبّقه هذا الأسبوع: </w:t>
      </w:r>
      <w:r>
        <w:rPr>
          <w:rFonts w:ascii="Carlito" w:hAnsi="Carlito" w:cs="Amiri" w:eastAsia="Amiri"/>
          <w:b w:val="0"/>
          <w:i w:val="0"/>
          <w:color w:val="1C2430"/>
          <w:sz w:val="20"/>
        </w:rPr>
        <w:t>قبل التوصية بحل لمشكلة متكررة، ارسموا مخططًا بسيطًا لكل الأطراف التي تتأثر بها وتؤثر فيها — الحل الذي يتجاهل جزءًا من المنظومة غالبًا يخلق مشكلة جديدة مكانه.</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ntosai.org/ar/%D8%A7%D9%84%D8%AA%D8%B8%D8%A7%D9%87%D8%B1%D8%A7%D8%AA/%D8%A7%D9%84%D8%AA%D9%81%D8%A7%D8%B5%D9%8A%D9%84/sdgs-audit-model-isam.html" TargetMode="External"/><Relationship Id="rId11" Type="http://schemas.openxmlformats.org/officeDocument/2006/relationships/hyperlink" Target="https://www.ifac.org/focus-areas/strengthening-risk-based-audit-framework-proposed-revisions-isa-330-isa-500-and-isa-520" TargetMode="External"/><Relationship Id="rId12" Type="http://schemas.openxmlformats.org/officeDocument/2006/relationships/hyperlink" Target="https://oceg.org/audit-and-compliance-in-the-era-of-ai-and-emerging-technology" TargetMode="External"/><Relationship Id="rId13" Type="http://schemas.openxmlformats.org/officeDocument/2006/relationships/hyperlink" Target="https://isaca.org/resources/it-audit" TargetMode="External"/><Relationship Id="rId14" Type="http://schemas.openxmlformats.org/officeDocument/2006/relationships/hyperlink" Target="https://oceg.org/audit-and-compliance-in-the-era-of-ai-and-emerging-technology-recor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