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0B1F3A"/>
            <w:tcMar>
              <w:top w:w="900" w:type="dxa"/>
              <w:bottom w:w="900" w:type="dxa"/>
              <w:left w:w="500" w:type="dxa"/>
              <w:right w:w="500" w:type="dxa"/>
            </w:tcMar>
          </w:tcPr>
          <w:p>
            <w:pPr>
              <w:jc w:val="center"/>
              <w:bidi/>
            </w:pPr>
            <w:r>
              <w:rPr>
                <w:rFonts w:ascii="Carlito" w:hAnsi="Carlito" w:cs="Amiri" w:eastAsia="Amiri"/>
                <w:b/>
                <w:i w:val="0"/>
                <w:color w:val="E8D9A0"/>
                <w:sz w:val="22"/>
              </w:rPr>
              <w:t>العدد 2  •  2026-08-25</w:t>
            </w:r>
          </w:p>
          <w:p>
            <w:pPr>
              <w:spacing w:before="280"/>
              <w:jc w:val="center"/>
              <w:bidi/>
            </w:pPr>
            <w:r>
              <w:rPr>
                <w:rFonts w:ascii="Carlito" w:hAnsi="Carlito" w:cs="Amiri" w:eastAsia="Amiri"/>
                <w:b/>
                <w:i w:val="0"/>
                <w:color w:val="FFFFFF"/>
                <w:sz w:val="52"/>
              </w:rPr>
              <w:t>النشرة الأسبوعية للحوكمة والتدقيق الداخلي</w:t>
            </w:r>
          </w:p>
          <w:p>
            <w:pPr>
              <w:spacing w:before="200"/>
              <w:jc w:val="center"/>
              <w:bidi/>
            </w:pPr>
            <w:r>
              <w:rPr>
                <w:rFonts w:ascii="Carlito" w:hAnsi="Carlito" w:cs="Amiri" w:eastAsia="Amiri"/>
                <w:b w:val="0"/>
                <w:i/>
                <w:color w:val="C9A227"/>
                <w:sz w:val="28"/>
              </w:rPr>
              <w:t>تقارير التدقيق الداخلي والرقابة على الحوكمة تؤكد أهمية التكنولوجيا والأمن السيبراني في تحسين النظم الإدارية</w:t>
            </w:r>
          </w:p>
          <w:p>
            <w:pPr>
              <w:spacing w:before="320"/>
              <w:jc w:val="center"/>
              <w:pBdr>
                <w:top w:val="single" w:sz="6" w:space="1" w:color="C9A227"/>
              </w:pBdr>
            </w:pPr>
          </w:p>
          <w:p>
            <w:pPr>
              <w:spacing w:before="200"/>
              <w:jc w:val="center"/>
              <w:bidi/>
            </w:pPr>
            <w:r>
              <w:rPr>
                <w:rFonts w:ascii="Carlito" w:hAnsi="Carlito" w:cs="Amiri" w:eastAsia="Amiri"/>
                <w:b w:val="0"/>
                <w:i w:val="0"/>
                <w:color w:val="E8D9A0"/>
                <w:sz w:val="20"/>
              </w:rPr>
              <w:t>تدقيق داخلي • تدقيق أداء • حوكمة • رقابة داخلية • إدارة مخاطر • موارد بشرية • محاسبة إدارية • إصلاح القطاع العام</w:t>
            </w:r>
          </w:p>
        </w:tc>
      </w:tr>
    </w:tbl>
    <w:p/>
    <w:p>
      <w:pPr>
        <w:bidi/>
        <w:spacing w:after="80"/>
      </w:pPr>
      <w:r>
        <w:rPr>
          <w:rFonts w:ascii="Carlito" w:hAnsi="Carlito" w:cs="Amiri" w:eastAsia="Amiri"/>
          <w:b/>
          <w:i w:val="0"/>
          <w:color w:val="13294B"/>
          <w:sz w:val="26"/>
        </w:rPr>
        <w:t>كلمة التحرير</w:t>
      </w:r>
    </w:p>
    <w:p>
      <w:pPr>
        <w:bidi/>
        <w:spacing w:line="312" w:lineRule="auto"/>
      </w:pPr>
      <w:r>
        <w:rPr>
          <w:rFonts w:ascii="Carlito" w:hAnsi="Carlito" w:cs="Amiri" w:eastAsia="Amiri"/>
          <w:b w:val="0"/>
          <w:i/>
          <w:color w:val="5B6472"/>
          <w:sz w:val="23"/>
        </w:rPr>
        <w:t>في ظل التطورات المتسارعة في مجال التكنولوجيا، أصبح من الضروري أن تكون المؤسسات على دراية بأهمية الأمن السيبراني والتكنولوجيا في تحسين نظمها الإدارية وتعزيز الحوكمة.</w:t>
      </w:r>
    </w:p>
    <w:p>
      <w:pPr>
        <w:spacing w:after="80"/>
      </w:pPr>
    </w:p>
    <w:p>
      <w:pPr>
        <w:bidi/>
      </w:pPr>
      <w:r>
        <w:rPr>
          <w:rFonts w:ascii="Carlito" w:hAnsi="Carlito" w:cs="Amiri" w:eastAsia="Amiri"/>
          <w:b/>
          <w:i w:val="0"/>
          <w:color w:val="13294B"/>
          <w:sz w:val="26"/>
        </w:rPr>
        <w:t>نظرة سريعة — في سطور</w:t>
      </w:r>
    </w:p>
    <w:tbl>
      <w:tblPr>
        <w:tblW w:type="auto" w:w="0"/>
        <w:tblLook w:firstColumn="1" w:firstRow="1" w:lastColumn="0" w:lastRow="0" w:noHBand="0" w:noVBand="1" w:val="04A0"/>
      </w:tblPr>
      <w:tblGrid>
        <w:gridCol w:w="9936"/>
      </w:tblGrid>
      <w:tr>
        <w:tc>
          <w:tcPr>
            <w:tcW w:type="dxa" w:w="9936"/>
            <w:shd w:fill="13294B"/>
            <w:tcMar>
              <w:top w:w="140" w:type="dxa"/>
              <w:bottom w:w="140" w:type="dxa"/>
              <w:left w:w="220" w:type="dxa"/>
              <w:right w:w="220" w:type="dxa"/>
            </w:tcMar>
          </w:tcPr>
          <w:p>
            <w:pPr>
              <w:bidi/>
              <w:spacing w:after="120"/>
            </w:pPr>
            <w:r>
              <w:rPr>
                <w:rFonts w:ascii="Carlito" w:hAnsi="Carlito" w:cs="Amiri" w:eastAsia="Amiri"/>
                <w:b/>
                <w:i w:val="0"/>
                <w:color w:val="C9A227"/>
                <w:sz w:val="22"/>
              </w:rPr>
              <w:t xml:space="preserve">◆ </w:t>
            </w:r>
            <w:r>
              <w:rPr>
                <w:rFonts w:ascii="Carlito" w:hAnsi="Carlito" w:cs="Amiri" w:eastAsia="Amiri"/>
                <w:b w:val="0"/>
                <w:i w:val="0"/>
                <w:color w:val="FFFFFF"/>
                <w:sz w:val="22"/>
              </w:rPr>
              <w:t>تقرير جديد يوضح أن التدقيق الداخلي يركز بشكل متزايد على الأمن السيبراني.</w:t>
            </w:r>
          </w:p>
          <w:p>
            <w:pPr>
              <w:bidi/>
              <w:spacing w:after="120"/>
            </w:pPr>
            <w:r>
              <w:rPr>
                <w:rFonts w:ascii="Carlito" w:hAnsi="Carlito" w:cs="Amiri" w:eastAsia="Amiri"/>
                <w:b/>
                <w:i w:val="0"/>
                <w:color w:val="C9A227"/>
                <w:sz w:val="22"/>
              </w:rPr>
              <w:t xml:space="preserve">◆ </w:t>
            </w:r>
            <w:r>
              <w:rPr>
                <w:rFonts w:ascii="Carlito" w:hAnsi="Carlito" w:cs="Amiri" w:eastAsia="Amiri"/>
                <w:b w:val="0"/>
                <w:i w:val="0"/>
                <w:color w:val="FFFFFF"/>
                <w:sz w:val="22"/>
              </w:rPr>
              <w:t>البنك الدولي يستخدم الذكاء الاصطناعي لتحسين الشفافية والمساءلة في الحوكمة.</w:t>
            </w:r>
          </w:p>
          <w:p>
            <w:pPr>
              <w:bidi/>
              <w:spacing w:after="120"/>
            </w:pPr>
            <w:r>
              <w:rPr>
                <w:rFonts w:ascii="Carlito" w:hAnsi="Carlito" w:cs="Amiri" w:eastAsia="Amiri"/>
                <w:b/>
                <w:i w:val="0"/>
                <w:color w:val="C9A227"/>
                <w:sz w:val="22"/>
              </w:rPr>
              <w:t xml:space="preserve">◆ </w:t>
            </w:r>
            <w:r>
              <w:rPr>
                <w:rFonts w:ascii="Carlito" w:hAnsi="Carlito" w:cs="Amiri" w:eastAsia="Amiri"/>
                <w:b w:val="0"/>
                <w:i w:val="0"/>
                <w:color w:val="FFFFFF"/>
                <w:sz w:val="22"/>
              </w:rPr>
              <w:t>COSO يصدر إرشادات جديدة لإدارة المخاطر في الروبوتية وتحسين التقارير المالية.</w:t>
            </w:r>
          </w:p>
        </w:tc>
      </w:tr>
    </w:tbl>
    <w:p>
      <w:pPr>
        <w:spacing w:after="160"/>
      </w:pPr>
    </w:p>
    <w:tbl>
      <w:tblPr>
        <w:tblW w:type="auto" w:w="0"/>
        <w:jc w:val="center"/>
        <w:tblLook w:firstColumn="1" w:firstRow="1" w:lastColumn="0" w:lastRow="0" w:noHBand="0" w:noVBand="1" w:val="04A0"/>
      </w:tblPr>
      <w:tblGrid>
        <w:gridCol w:w="2484"/>
        <w:gridCol w:w="2484"/>
        <w:gridCol w:w="2484"/>
        <w:gridCol w:w="2484"/>
      </w:tblGrid>
      <w:tr>
        <w:tc>
          <w:tcPr>
            <w:tcW w:type="dxa" w:w="2484"/>
            <w:shd w:fill="13294B"/>
            <w:tcMar>
              <w:top w:w="100" w:type="dxa"/>
              <w:bottom w:w="80" w:type="dxa"/>
              <w:left w:w="150" w:type="dxa"/>
              <w:right w:w="150" w:type="dxa"/>
            </w:tcMar>
          </w:tcPr>
          <w:p>
            <w:pPr>
              <w:jc w:val="center"/>
              <w:bidi/>
            </w:pPr>
            <w:r>
              <w:rPr>
                <w:rFonts w:ascii="Carlito" w:hAnsi="Carlito" w:cs="Amiri" w:eastAsia="Amiri"/>
                <w:b/>
                <w:i w:val="0"/>
                <w:color w:val="FFFFFF"/>
                <w:sz w:val="19"/>
              </w:rPr>
              <w:t>إجمالي التحديثات</w:t>
            </w:r>
          </w:p>
        </w:tc>
        <w:tc>
          <w:tcPr>
            <w:tcW w:type="dxa" w:w="2484"/>
            <w:shd w:fill="13294B"/>
            <w:tcMar>
              <w:top w:w="100" w:type="dxa"/>
              <w:bottom w:w="80" w:type="dxa"/>
              <w:left w:w="150" w:type="dxa"/>
              <w:right w:w="150" w:type="dxa"/>
            </w:tcMar>
          </w:tcPr>
          <w:p>
            <w:pPr>
              <w:jc w:val="center"/>
              <w:bidi/>
            </w:pPr>
            <w:r>
              <w:rPr>
                <w:rFonts w:ascii="Carlito" w:hAnsi="Carlito" w:cs="Amiri" w:eastAsia="Amiri"/>
                <w:b/>
                <w:i w:val="0"/>
                <w:color w:val="FFFFFF"/>
                <w:sz w:val="19"/>
              </w:rPr>
              <w:t>معايير وإصدارات جديدة</w:t>
            </w:r>
          </w:p>
        </w:tc>
        <w:tc>
          <w:tcPr>
            <w:tcW w:type="dxa" w:w="2484"/>
            <w:shd w:fill="13294B"/>
            <w:tcMar>
              <w:top w:w="100" w:type="dxa"/>
              <w:bottom w:w="80" w:type="dxa"/>
              <w:left w:w="150" w:type="dxa"/>
              <w:right w:w="150" w:type="dxa"/>
            </w:tcMar>
          </w:tcPr>
          <w:p>
            <w:pPr>
              <w:jc w:val="center"/>
              <w:bidi/>
            </w:pPr>
            <w:r>
              <w:rPr>
                <w:rFonts w:ascii="Carlito" w:hAnsi="Carlito" w:cs="Amiri" w:eastAsia="Amiri"/>
                <w:b/>
                <w:i w:val="0"/>
                <w:color w:val="FFFFFF"/>
                <w:sz w:val="19"/>
              </w:rPr>
              <w:t>تحديثات عالية الأولوية</w:t>
            </w:r>
          </w:p>
        </w:tc>
        <w:tc>
          <w:tcPr>
            <w:tcW w:type="dxa" w:w="2484"/>
            <w:shd w:fill="13294B"/>
            <w:tcMar>
              <w:top w:w="100" w:type="dxa"/>
              <w:bottom w:w="80" w:type="dxa"/>
              <w:left w:w="150" w:type="dxa"/>
              <w:right w:w="150" w:type="dxa"/>
            </w:tcMar>
          </w:tcPr>
          <w:p>
            <w:pPr>
              <w:jc w:val="center"/>
              <w:bidi/>
            </w:pPr>
            <w:r>
              <w:rPr>
                <w:rFonts w:ascii="Carlito" w:hAnsi="Carlito" w:cs="Amiri" w:eastAsia="Amiri"/>
                <w:b/>
                <w:i w:val="0"/>
                <w:color w:val="FFFFFF"/>
                <w:sz w:val="19"/>
              </w:rPr>
              <w:t>المجالات المغطاة</w:t>
            </w:r>
          </w:p>
        </w:tc>
      </w:tr>
      <w:tr>
        <w:tc>
          <w:tcPr>
            <w:tcW w:type="dxa" w:w="2484"/>
            <w:shd w:fill="FBF9F4"/>
            <w:tcMar>
              <w:top w:w="140" w:type="dxa"/>
              <w:bottom w:w="140" w:type="dxa"/>
              <w:left w:w="150" w:type="dxa"/>
              <w:right w:w="150" w:type="dxa"/>
            </w:tcMar>
          </w:tcPr>
          <w:p>
            <w:pPr>
              <w:jc w:val="center"/>
            </w:pPr>
            <w:r>
              <w:rPr>
                <w:rFonts w:ascii="Carlito" w:hAnsi="Carlito" w:cs="Amiri" w:eastAsia="Amiri"/>
                <w:b/>
                <w:i w:val="0"/>
                <w:color w:val="C9A227"/>
                <w:sz w:val="36"/>
              </w:rPr>
              <w:t>3</w:t>
            </w:r>
          </w:p>
        </w:tc>
        <w:tc>
          <w:tcPr>
            <w:tcW w:type="dxa" w:w="2484"/>
            <w:shd w:fill="FBF9F4"/>
            <w:tcMar>
              <w:top w:w="140" w:type="dxa"/>
              <w:bottom w:w="140" w:type="dxa"/>
              <w:left w:w="150" w:type="dxa"/>
              <w:right w:w="150" w:type="dxa"/>
            </w:tcMar>
          </w:tcPr>
          <w:p>
            <w:pPr>
              <w:jc w:val="center"/>
            </w:pPr>
            <w:r>
              <w:rPr>
                <w:rFonts w:ascii="Carlito" w:hAnsi="Carlito" w:cs="Amiri" w:eastAsia="Amiri"/>
                <w:b/>
                <w:i w:val="0"/>
                <w:color w:val="C9A227"/>
                <w:sz w:val="36"/>
              </w:rPr>
              <w:t>1</w:t>
            </w:r>
          </w:p>
        </w:tc>
        <w:tc>
          <w:tcPr>
            <w:tcW w:type="dxa" w:w="2484"/>
            <w:shd w:fill="FBF9F4"/>
            <w:tcMar>
              <w:top w:w="140" w:type="dxa"/>
              <w:bottom w:w="140" w:type="dxa"/>
              <w:left w:w="150" w:type="dxa"/>
              <w:right w:w="150" w:type="dxa"/>
            </w:tcMar>
          </w:tcPr>
          <w:p>
            <w:pPr>
              <w:jc w:val="center"/>
            </w:pPr>
            <w:r>
              <w:rPr>
                <w:rFonts w:ascii="Carlito" w:hAnsi="Carlito" w:cs="Amiri" w:eastAsia="Amiri"/>
                <w:b/>
                <w:i w:val="0"/>
                <w:color w:val="8C1D1D"/>
                <w:sz w:val="36"/>
              </w:rPr>
              <w:t>2</w:t>
            </w:r>
          </w:p>
        </w:tc>
        <w:tc>
          <w:tcPr>
            <w:tcW w:type="dxa" w:w="2484"/>
            <w:shd w:fill="FBF9F4"/>
            <w:tcMar>
              <w:top w:w="140" w:type="dxa"/>
              <w:bottom w:w="140" w:type="dxa"/>
              <w:left w:w="150" w:type="dxa"/>
              <w:right w:w="150" w:type="dxa"/>
            </w:tcMar>
          </w:tcPr>
          <w:p>
            <w:pPr>
              <w:jc w:val="center"/>
            </w:pPr>
            <w:r>
              <w:rPr>
                <w:rFonts w:ascii="Carlito" w:hAnsi="Carlito" w:cs="Amiri" w:eastAsia="Amiri"/>
                <w:b/>
                <w:i w:val="0"/>
                <w:color w:val="C9A227"/>
                <w:sz w:val="36"/>
              </w:rPr>
              <w:t>3</w:t>
            </w:r>
          </w:p>
        </w:tc>
      </w:tr>
    </w:tbl>
    <w:p>
      <w:pPr>
        <w:spacing w:after="160"/>
      </w:pPr>
    </w:p>
    <w:p>
      <w:pPr>
        <w:bidi/>
      </w:pPr>
      <w:r>
        <w:rPr>
          <w:rFonts w:ascii="Carlito" w:hAnsi="Carlito" w:cs="Amiri" w:eastAsia="Amiri"/>
          <w:b/>
          <w:i w:val="0"/>
          <w:color w:val="13294B"/>
          <w:sz w:val="26"/>
        </w:rPr>
        <w:t>رقم الأسبوع</w:t>
      </w:r>
    </w:p>
    <w:tbl>
      <w:tblPr>
        <w:tblW w:type="auto" w:w="0"/>
        <w:tblLook w:firstColumn="1" w:firstRow="1" w:lastColumn="0" w:lastRow="0" w:noHBand="0" w:noVBand="1" w:val="04A0"/>
      </w:tblPr>
      <w:tblGrid>
        <w:gridCol w:w="9936"/>
      </w:tblGrid>
      <w:tr>
        <w:tc>
          <w:tcPr>
            <w:tcW w:type="dxa" w:w="9936"/>
            <w:shd w:fill="FBF9F4"/>
            <w:tcMar>
              <w:top w:w="160" w:type="dxa"/>
              <w:bottom w:w="160" w:type="dxa"/>
              <w:left w:w="220" w:type="dxa"/>
              <w:right w:w="220" w:type="dxa"/>
            </w:tcMar>
            <w:tcBorders>
              <w:top w:val="none"/>
              <w:bottom w:val="none"/>
              <w:left w:val="none"/>
              <w:right w:val="single" w:sz="24" w:space="0" w:color="C9A227"/>
            </w:tcBorders>
          </w:tcPr>
          <w:p>
            <w:pPr>
              <w:bidi/>
            </w:pPr>
            <w:r>
              <w:rPr>
                <w:rFonts w:ascii="Carlito" w:hAnsi="Carlito" w:cs="Amiri" w:eastAsia="Amiri"/>
                <w:b/>
                <w:i w:val="0"/>
                <w:color w:val="13294B"/>
                <w:sz w:val="56"/>
              </w:rPr>
              <w:t>2026</w:t>
            </w:r>
          </w:p>
          <w:p>
            <w:pPr>
              <w:bidi/>
              <w:spacing w:before="120" w:line="312" w:lineRule="auto"/>
            </w:pPr>
            <w:r>
              <w:rPr>
                <w:rFonts w:ascii="Carlito" w:hAnsi="Carlito" w:cs="Amiri" w:eastAsia="Amiri"/>
                <w:b w:val="0"/>
                <w:i w:val="0"/>
                <w:color w:val="1C2430"/>
                <w:sz w:val="22"/>
              </w:rPr>
              <w:t>تقرير جديد يظهر أن التكنولوجيا والأمن السيبراني أصبحا جزءًا لا يتجزأ من أنظمة الحوكمة والإدارة المالية في المؤسسات.</w:t>
            </w:r>
          </w:p>
          <w:p>
            <w:pPr>
              <w:bidi/>
              <w:spacing w:before="120"/>
            </w:pPr>
            <w:r>
              <w:rPr>
                <w:rFonts w:ascii="Carlito" w:hAnsi="Carlito" w:cs="Amiri" w:eastAsia="Amiri"/>
                <w:b/>
                <w:i w:val="0"/>
                <w:color w:val="5B6472"/>
                <w:sz w:val="19"/>
              </w:rPr>
              <w:t xml:space="preserve">المصدر: </w:t>
            </w:r>
            <w:hyperlink r:id="rId10">
              <w:r>
                <w:rPr>
                  <w:rFonts w:ascii="Carlito" w:hAnsi="Carlito" w:cs="Amiri" w:eastAsia="Amiri"/>
                  <w:sz w:val="19"/>
                  <w:u w:val="single"/>
                  <w:color w:val="C9A227"/>
                </w:rPr>
                <w:t>theiia.org, intosai.org, gao.gov</w:t>
              </w:r>
            </w:hyperlink>
          </w:p>
        </w:tc>
      </w:tr>
    </w:tbl>
    <w:p>
      <w:pPr>
        <w:spacing w:after="160"/>
      </w:pPr>
    </w:p>
    <w:p>
      <w:pPr>
        <w:bidi/>
      </w:pPr>
      <w:r>
        <w:rPr>
          <w:rFonts w:ascii="Carlito" w:hAnsi="Carlito" w:cs="Amiri" w:eastAsia="Amiri"/>
          <w:b/>
          <w:i w:val="0"/>
          <w:color w:val="13294B"/>
          <w:sz w:val="26"/>
        </w:rPr>
        <w:t>رادار المعايير والإصدارات الجديدة</w:t>
      </w:r>
    </w:p>
    <w:p>
      <w:pPr>
        <w:spacing w:before="40" w:after="160"/>
        <w:pBdr>
          <w:bottom w:val="single" w:sz="8" w:space="1" w:color="C9A227"/>
        </w:pBdr>
      </w:pPr>
    </w:p>
    <w:tbl>
      <w:tblPr>
        <w:tblW w:type="auto" w:w="0"/>
        <w:tblLook w:firstColumn="1" w:firstRow="1" w:lastColumn="0" w:lastRow="0" w:noHBand="0" w:noVBand="1" w:val="04A0"/>
      </w:tblPr>
      <w:tblGrid>
        <w:gridCol w:w="9936"/>
      </w:tblGrid>
      <w:tr>
        <w:tc>
          <w:tcPr>
            <w:tcW w:type="dxa" w:w="9936"/>
            <w:shd w:fill="FFFFFF"/>
            <w:tcMar>
              <w:top w:w="140" w:type="dxa"/>
              <w:bottom w:w="140" w:type="dxa"/>
              <w:left w:w="200" w:type="dxa"/>
              <w:right w:w="200" w:type="dxa"/>
            </w:tcMar>
            <w:tcBorders>
              <w:top w:val="single" w:sz="4" w:space="0" w:color="D8D2C2"/>
              <w:bottom w:val="single" w:sz="4" w:space="0" w:color="D8D2C2"/>
              <w:left w:val="single" w:sz="4" w:space="0" w:color="D8D2C2"/>
              <w:right w:val="single" w:sz="24" w:space="0" w:color="8A6D1A"/>
            </w:tcBorders>
          </w:tcPr>
          <w:p>
            <w:pPr>
              <w:bidi/>
            </w:pPr>
            <w:r>
              <w:rPr>
                <w:rFonts w:ascii="Carlito" w:hAnsi="Carlito" w:cs="Amiri" w:eastAsia="Amiri"/>
                <w:b/>
                <w:i w:val="0"/>
                <w:color w:val="13294B"/>
                <w:sz w:val="25"/>
              </w:rPr>
              <w:t>IFRS - Exposure Draft and comment letters: Proposed Targeted Amendments to the IFRS Foundation Constitution</w:t>
            </w:r>
            <w:r>
              <w:rPr>
                <w:rFonts w:ascii="Carlito" w:hAnsi="Carlito" w:cs="Amiri" w:eastAsia="Amiri"/>
                <w:b/>
                <w:i w:val="0"/>
                <w:color w:val="8A6D1A"/>
                <w:sz w:val="19"/>
              </w:rPr>
              <w:t xml:space="preserve">  [IFRS Foundation | مسودة للتعليق]</w:t>
            </w:r>
          </w:p>
          <w:p>
            <w:pPr>
              <w:bidi/>
              <w:spacing w:before="60"/>
            </w:pPr>
            <w:r>
              <w:rPr>
                <w:rFonts w:ascii="Carlito" w:hAnsi="Carlito" w:cs="Amiri" w:eastAsia="Amiri"/>
                <w:b w:val="0"/>
                <w:i/>
                <w:color w:val="5B6472"/>
                <w:sz w:val="18"/>
              </w:rPr>
              <w:t>الإصدار: 18 August 2026  |  آخر أجل للتعليق: 16 November 2026</w:t>
            </w:r>
          </w:p>
          <w:p>
            <w:pPr>
              <w:bidi/>
              <w:spacing w:before="120" w:line="312" w:lineRule="auto"/>
            </w:pPr>
            <w:r>
              <w:rPr>
                <w:rFonts w:ascii="Carlito" w:hAnsi="Carlito" w:cs="Amiri" w:eastAsia="Amiri"/>
                <w:b w:val="0"/>
                <w:i w:val="0"/>
                <w:color w:val="1C2430"/>
                <w:sz w:val="21"/>
              </w:rPr>
              <w:t>تقديم تعديلات مقترحة على دستور مؤسسة المعايير الدولية للمراجعة المالية بهدف تحسين الحوكمة.</w:t>
            </w:r>
          </w:p>
          <w:p>
            <w:pPr>
              <w:bidi/>
              <w:spacing w:before="80"/>
            </w:pPr>
            <w:r>
              <w:rPr>
                <w:rFonts w:ascii="Carlito" w:hAnsi="Carlito" w:cs="Amiri" w:eastAsia="Amiri"/>
                <w:b/>
                <w:i w:val="0"/>
                <w:color w:val="13294B"/>
                <w:sz w:val="20"/>
              </w:rPr>
              <w:t xml:space="preserve">لماذا يهمكم: </w:t>
            </w:r>
            <w:r>
              <w:rPr>
                <w:rFonts w:ascii="Carlito" w:hAnsi="Carlito" w:cs="Amiri" w:eastAsia="Amiri"/>
                <w:b w:val="0"/>
                <w:i w:val="0"/>
                <w:color w:val="1C2430"/>
                <w:sz w:val="20"/>
              </w:rPr>
              <w:t>سيؤثر التعديل المقترح على تحسين جودة التقارير المالية.</w:t>
            </w:r>
          </w:p>
          <w:p>
            <w:pPr>
              <w:bidi/>
              <w:spacing w:before="160"/>
            </w:pPr>
            <w:r>
              <w:rPr>
                <w:rFonts w:ascii="Carlito" w:hAnsi="Carlito" w:cs="Amiri" w:eastAsia="Amiri"/>
                <w:b/>
                <w:i w:val="0"/>
                <w:color w:val="C9A227"/>
                <w:sz w:val="22"/>
              </w:rPr>
              <w:t xml:space="preserve">⬇ </w:t>
            </w:r>
            <w:hyperlink r:id="rId11">
              <w:r>
                <w:rPr>
                  <w:rFonts w:ascii="Carlito" w:hAnsi="Carlito" w:cs="Amiri" w:eastAsia="Amiri"/>
                  <w:sz w:val="22"/>
                  <w:b/>
                  <w:u w:val="single"/>
                  <w:color w:val="C9A227"/>
                </w:rPr>
                <w:t>تحميل / الاطلاع على IFRS</w:t>
              </w:r>
            </w:hyperlink>
          </w:p>
        </w:tc>
      </w:tr>
    </w:tbl>
    <w:p>
      <w:pPr>
        <w:spacing w:after="120"/>
      </w:pPr>
    </w:p>
    <w:p>
      <w:pPr>
        <w:bidi/>
      </w:pPr>
      <w:r>
        <w:rPr>
          <w:rFonts w:ascii="Carlito" w:hAnsi="Carlito" w:cs="Amiri" w:eastAsia="Amiri"/>
          <w:b/>
          <w:i w:val="0"/>
          <w:color w:val="13294B"/>
          <w:sz w:val="26"/>
        </w:rPr>
        <w:t>مهارات الأسبوع</w:t>
      </w:r>
    </w:p>
    <w:p>
      <w:pPr>
        <w:bidi/>
        <w:spacing w:after="80"/>
      </w:pPr>
      <w:r>
        <w:rPr>
          <w:rFonts w:ascii="Carlito" w:hAnsi="Carlito" w:cs="Amiri" w:eastAsia="Amiri"/>
          <w:b w:val="0"/>
          <w:i/>
          <w:color w:val="5B6472"/>
          <w:sz w:val="20"/>
        </w:rPr>
        <w:t>هذا الأسبوع: عرض وتقديم</w:t>
      </w:r>
    </w:p>
    <w:tbl>
      <w:tblPr>
        <w:tblW w:type="auto" w:w="0"/>
        <w:tblLook w:firstColumn="1" w:firstRow="1" w:lastColumn="0" w:lastRow="0" w:noHBand="0" w:noVBand="1" w:val="04A0"/>
      </w:tblPr>
      <w:tblGrid>
        <w:gridCol w:w="9936"/>
      </w:tblGrid>
      <w:tr>
        <w:tc>
          <w:tcPr>
            <w:tcW w:type="dxa" w:w="9936"/>
            <w:shd w:fill="FBF9F4"/>
            <w:tcMar>
              <w:top w:w="120" w:type="dxa"/>
              <w:bottom w:w="120" w:type="dxa"/>
              <w:left w:w="200" w:type="dxa"/>
              <w:right w:w="200" w:type="dxa"/>
            </w:tcMar>
            <w:tcBorders>
              <w:top w:val="none"/>
              <w:bottom w:val="none"/>
              <w:left w:val="none"/>
              <w:right w:val="single" w:sz="20" w:space="0" w:color="C9A227"/>
            </w:tcBorders>
          </w:tcPr>
          <w:p>
            <w:pPr>
              <w:bidi/>
              <w:spacing w:after="120"/>
            </w:pPr>
            <w:r>
              <w:rPr>
                <w:rFonts w:ascii="Carlito" w:hAnsi="Carlito" w:cs="Amiri" w:eastAsia="Amiri"/>
                <w:b/>
                <w:i w:val="0"/>
                <w:color w:val="C9A227"/>
                <w:sz w:val="22"/>
              </w:rPr>
              <w:t xml:space="preserve">— </w:t>
            </w:r>
            <w:r>
              <w:rPr>
                <w:rFonts w:ascii="Carlito" w:hAnsi="Carlito" w:cs="Amiri" w:eastAsia="Amiri"/>
                <w:b w:val="0"/>
                <w:i w:val="0"/>
                <w:color w:val="1C2430"/>
                <w:sz w:val="22"/>
              </w:rPr>
              <w:t>قاعدة 'شريحة واحدة = فكرة واحدة' في أي عرض تنفيذي — لا تُحمّل الشريحة أكثر من طاقتها</w:t>
            </w:r>
          </w:p>
          <w:p>
            <w:pPr>
              <w:bidi/>
              <w:spacing w:after="120"/>
            </w:pPr>
            <w:r>
              <w:rPr>
                <w:rFonts w:ascii="Carlito" w:hAnsi="Carlito" w:cs="Amiri" w:eastAsia="Amiri"/>
                <w:b/>
                <w:i w:val="0"/>
                <w:color w:val="C9A227"/>
                <w:sz w:val="22"/>
              </w:rPr>
              <w:t xml:space="preserve">— </w:t>
            </w:r>
            <w:r>
              <w:rPr>
                <w:rFonts w:ascii="Carlito" w:hAnsi="Carlito" w:cs="Amiri" w:eastAsia="Amiri"/>
                <w:b w:val="0"/>
                <w:i w:val="0"/>
                <w:color w:val="1C2430"/>
                <w:sz w:val="22"/>
              </w:rPr>
              <w:t>طبّق اختبار 'إذن ماذا؟' على كل رقم أو رسم بياني تعرضه؛ احذف ما لا يجيب عليه</w:t>
            </w:r>
          </w:p>
          <w:p>
            <w:pPr>
              <w:bidi/>
              <w:spacing w:after="120"/>
            </w:pPr>
            <w:r>
              <w:rPr>
                <w:rFonts w:ascii="Carlito" w:hAnsi="Carlito" w:cs="Amiri" w:eastAsia="Amiri"/>
                <w:b/>
                <w:i w:val="0"/>
                <w:color w:val="C9A227"/>
                <w:sz w:val="22"/>
              </w:rPr>
              <w:t xml:space="preserve">— </w:t>
            </w:r>
            <w:r>
              <w:rPr>
                <w:rFonts w:ascii="Carlito" w:hAnsi="Carlito" w:cs="Amiri" w:eastAsia="Amiri"/>
                <w:b w:val="0"/>
                <w:i w:val="0"/>
                <w:color w:val="1C2430"/>
                <w:sz w:val="22"/>
              </w:rPr>
              <w:t>تدرّب على أول 30 ثانية من عرضك أكثر من أي جزء آخر — هي ما يحدد انتباه الحضور للبقية</w:t>
            </w:r>
          </w:p>
        </w:tc>
      </w:tr>
    </w:tbl>
    <w:p>
      <w:pPr>
        <w:spacing w:after="160"/>
      </w:pPr>
    </w:p>
    <w:p>
      <w:pPr>
        <w:bidi/>
      </w:pPr>
      <w:r>
        <w:rPr>
          <w:rFonts w:ascii="Carlito" w:hAnsi="Carlito" w:cs="Amiri" w:eastAsia="Amiri"/>
          <w:b/>
          <w:i w:val="0"/>
          <w:color w:val="13294B"/>
          <w:sz w:val="26"/>
        </w:rPr>
        <w:t>ومضة إدارية — أخلاقيات المهنة والاستقلالية في التدقيق (Professional Ethics &amp; Independence – IIA Code of Ethics)</w:t>
      </w:r>
    </w:p>
    <w:tbl>
      <w:tblPr>
        <w:tblW w:type="auto" w:w="0"/>
        <w:tblLook w:firstColumn="1" w:firstRow="1" w:lastColumn="0" w:lastRow="0" w:noHBand="0" w:noVBand="1" w:val="04A0"/>
      </w:tblPr>
      <w:tblGrid>
        <w:gridCol w:w="9936"/>
      </w:tblGrid>
      <w:tr>
        <w:tc>
          <w:tcPr>
            <w:tcW w:type="dxa" w:w="9936"/>
            <w:shd w:fill="FFFFFF"/>
            <w:tcMar>
              <w:top w:w="120" w:type="dxa"/>
              <w:bottom w:w="120" w:type="dxa"/>
              <w:left w:w="200" w:type="dxa"/>
              <w:right w:w="200" w:type="dxa"/>
            </w:tcMar>
            <w:tcBorders>
              <w:top w:val="single" w:sz="4" w:space="0" w:color="D8D2C2"/>
              <w:bottom w:val="single" w:sz="4" w:space="0" w:color="D8D2C2"/>
              <w:left w:val="single" w:sz="4" w:space="0" w:color="D8D2C2"/>
              <w:right w:val="single" w:sz="4" w:space="0" w:color="D8D2C2"/>
            </w:tcBorders>
          </w:tcPr>
          <w:p>
            <w:pPr>
              <w:bidi/>
              <w:spacing w:line="312" w:lineRule="auto"/>
            </w:pPr>
            <w:r>
              <w:rPr>
                <w:rFonts w:ascii="Carlito" w:hAnsi="Carlito" w:cs="Amiri" w:eastAsia="Amiri"/>
                <w:b w:val="0"/>
                <w:i w:val="0"/>
                <w:color w:val="1C2430"/>
                <w:sz w:val="22"/>
              </w:rPr>
              <w:t>تقوم مدونة أخلاقيات IIA على أربعة مبادئ: النزاهة (Integrity) التي تبني الثقة والمصداقية، الموضوعية (Objectivity) أي تجنّب أي تحيّز أو تضارب مصالح يؤثر على الحكم المهني، السرّية (Confidentiality) في احترام قيمة وملكية المعلومات، والكفاءة (Competency) في تطبيق المعرفة والمهارات اللازمة. الاستقلالية التنظيمية (تبعية تقرير مباشرة للجنة التدقيق لا للإدارة التنفيذية) والموضوعية الفردية معًا هما ما يمنح رأي المدقق الداخلي قيمته أصلاً؛ فقدان أي منهما يُفرغ التدقيق من جدواه.</w:t>
            </w:r>
          </w:p>
          <w:p>
            <w:pPr>
              <w:bidi/>
              <w:spacing w:before="80"/>
            </w:pPr>
            <w:r>
              <w:rPr>
                <w:rFonts w:ascii="Carlito" w:hAnsi="Carlito" w:cs="Amiri" w:eastAsia="Amiri"/>
                <w:b/>
                <w:i w:val="0"/>
                <w:color w:val="C9A227"/>
                <w:sz w:val="21"/>
              </w:rPr>
              <w:t xml:space="preserve">— </w:t>
            </w:r>
            <w:r>
              <w:rPr>
                <w:rFonts w:ascii="Carlito" w:hAnsi="Carlito" w:cs="Amiri" w:eastAsia="Amiri"/>
                <w:b w:val="0"/>
                <w:i w:val="0"/>
                <w:color w:val="5B6472"/>
                <w:sz w:val="21"/>
              </w:rPr>
              <w:t>أفصحوا فورًا عن أي تضارب مصالح محتمل، مهما بدا بسيطًا</w:t>
            </w:r>
          </w:p>
          <w:p>
            <w:pPr>
              <w:bidi/>
              <w:spacing w:before="80"/>
            </w:pPr>
            <w:r>
              <w:rPr>
                <w:rFonts w:ascii="Carlito" w:hAnsi="Carlito" w:cs="Amiri" w:eastAsia="Amiri"/>
                <w:b/>
                <w:i w:val="0"/>
                <w:color w:val="C9A227"/>
                <w:sz w:val="21"/>
              </w:rPr>
              <w:t xml:space="preserve">— </w:t>
            </w:r>
            <w:r>
              <w:rPr>
                <w:rFonts w:ascii="Carlito" w:hAnsi="Carlito" w:cs="Amiri" w:eastAsia="Amiri"/>
                <w:b w:val="0"/>
                <w:i w:val="0"/>
                <w:color w:val="5B6472"/>
                <w:sz w:val="21"/>
              </w:rPr>
              <w:t>الاستقلالية التنظيمية شرط ضروري لكن غير كافٍ؛ الموضوعية الفردية لا تقل أهمية</w:t>
            </w:r>
          </w:p>
          <w:p>
            <w:pPr>
              <w:bidi/>
              <w:spacing w:before="80"/>
            </w:pPr>
            <w:r>
              <w:rPr>
                <w:rFonts w:ascii="Carlito" w:hAnsi="Carlito" w:cs="Amiri" w:eastAsia="Amiri"/>
                <w:b/>
                <w:i w:val="0"/>
                <w:color w:val="C9A227"/>
                <w:sz w:val="21"/>
              </w:rPr>
              <w:t xml:space="preserve">— </w:t>
            </w:r>
            <w:r>
              <w:rPr>
                <w:rFonts w:ascii="Carlito" w:hAnsi="Carlito" w:cs="Amiri" w:eastAsia="Amiri"/>
                <w:b w:val="0"/>
                <w:i w:val="0"/>
                <w:color w:val="5B6472"/>
                <w:sz w:val="21"/>
              </w:rPr>
              <w:t>السرّية لا تعني إخفاء نتائج جوهرية عن من يحق له الاطلاع عليها نظامًا</w:t>
            </w:r>
          </w:p>
        </w:tc>
      </w:tr>
    </w:tbl>
    <w:p>
      <w:pPr>
        <w:spacing w:after="160"/>
      </w:pPr>
    </w:p>
    <w:p>
      <w:pPr>
        <w:bidi/>
      </w:pPr>
      <w:r>
        <w:rPr>
          <w:rFonts w:ascii="Carlito" w:hAnsi="Carlito" w:cs="Amiri" w:eastAsia="Amiri"/>
          <w:b/>
          <w:i w:val="0"/>
          <w:color w:val="13294B"/>
          <w:sz w:val="26"/>
        </w:rPr>
        <w:t>مصطلح الأسبوع</w:t>
      </w:r>
    </w:p>
    <w:tbl>
      <w:tblPr>
        <w:tblW w:type="auto" w:w="0"/>
        <w:tblLook w:firstColumn="1" w:firstRow="1" w:lastColumn="0" w:lastRow="0" w:noHBand="0" w:noVBand="1" w:val="04A0"/>
      </w:tblPr>
      <w:tblGrid>
        <w:gridCol w:w="9936"/>
      </w:tblGrid>
      <w:tr>
        <w:tc>
          <w:tcPr>
            <w:tcW w:type="dxa" w:w="9936"/>
            <w:shd w:fill="13294B"/>
            <w:tcMar>
              <w:top w:w="120" w:type="dxa"/>
              <w:bottom w:w="120" w:type="dxa"/>
              <w:left w:w="200" w:type="dxa"/>
              <w:right w:w="200" w:type="dxa"/>
            </w:tcMar>
          </w:tcPr>
          <w:p>
            <w:pPr>
              <w:bidi/>
            </w:pPr>
            <w:r>
              <w:rPr>
                <w:rFonts w:ascii="Carlito" w:hAnsi="Carlito" w:cs="Amiri" w:eastAsia="Amiri"/>
                <w:b/>
                <w:i w:val="0"/>
                <w:color w:val="FFFFFF"/>
                <w:sz w:val="26"/>
              </w:rPr>
              <w:t xml:space="preserve">المسار الرقابي (أثر التدقيق)  </w:t>
            </w:r>
            <w:r>
              <w:rPr>
                <w:rFonts w:ascii="Carlito" w:hAnsi="Carlito" w:cs="Amiri" w:eastAsia="Amiri"/>
                <w:b w:val="0"/>
                <w:i/>
                <w:color w:val="E8D9A0"/>
                <w:sz w:val="22"/>
              </w:rPr>
              <w:t>(Audit Trail)</w:t>
            </w:r>
          </w:p>
          <w:p>
            <w:pPr>
              <w:bidi/>
              <w:spacing w:before="120" w:line="312" w:lineRule="auto"/>
            </w:pPr>
            <w:r>
              <w:rPr>
                <w:rFonts w:ascii="Carlito" w:hAnsi="Carlito" w:cs="Amiri" w:eastAsia="Amiri"/>
                <w:b w:val="0"/>
                <w:i w:val="0"/>
                <w:color w:val="FFFFFF"/>
                <w:sz w:val="21"/>
              </w:rPr>
              <w:t>سلسلة موثّقة من الأدلة تتيح تتبّع معاملة أو قرار من نقطة نشوئه حتى انعكاسه النهائي في السجلات.</w:t>
            </w:r>
          </w:p>
          <w:p>
            <w:pPr>
              <w:bidi/>
              <w:spacing w:before="120"/>
            </w:pPr>
            <w:r>
              <w:rPr>
                <w:rFonts w:ascii="Carlito" w:hAnsi="Carlito" w:cs="Amiri" w:eastAsia="Amiri"/>
                <w:b/>
                <w:i w:val="0"/>
                <w:color w:val="E8D9A0"/>
                <w:sz w:val="19"/>
              </w:rPr>
              <w:t xml:space="preserve">في الممارسة: </w:t>
            </w:r>
            <w:r>
              <w:rPr>
                <w:rFonts w:ascii="Carlito" w:hAnsi="Carlito" w:cs="Amiri" w:eastAsia="Amiri"/>
                <w:b w:val="0"/>
                <w:i/>
                <w:color w:val="E8D9A0"/>
                <w:sz w:val="19"/>
              </w:rPr>
              <w:t>غياب مسار رقابي واضح لمعاملة كبيرة مؤشر إنذار بحد ذاته، بصرف النظر عن طبيعة المعاملة نفسها.</w:t>
            </w:r>
          </w:p>
        </w:tc>
      </w:tr>
    </w:tbl>
    <w:p>
      <w:pPr>
        <w:spacing w:after="160"/>
      </w:pPr>
    </w:p>
    <w:p>
      <w:pPr>
        <w:bidi/>
      </w:pPr>
      <w:r>
        <w:rPr>
          <w:rFonts w:ascii="Carlito" w:hAnsi="Carlito" w:cs="Amiri" w:eastAsia="Amiri"/>
          <w:b/>
          <w:i w:val="0"/>
          <w:color w:val="13294B"/>
          <w:sz w:val="26"/>
        </w:rPr>
        <w:t>أبرز التطورات حسب المجال</w:t>
      </w:r>
    </w:p>
    <w:p>
      <w:pPr>
        <w:spacing w:before="40" w:after="160"/>
        <w:pBdr>
          <w:bottom w:val="single" w:sz="8" w:space="1" w:color="C9A227"/>
        </w:pBdr>
      </w:pPr>
    </w:p>
    <w:tbl>
      <w:tblPr>
        <w:tblW w:type="auto" w:w="0"/>
        <w:jc w:val="center"/>
        <w:tblLook w:firstColumn="1" w:firstRow="1" w:lastColumn="0" w:lastRow="0" w:noHBand="0" w:noVBand="1" w:val="04A0"/>
      </w:tblPr>
      <w:tblGrid>
        <w:gridCol w:w="9936"/>
      </w:tblGrid>
      <w:tr>
        <w:tc>
          <w:tcPr>
            <w:tcW w:type="dxa" w:w="9936"/>
            <w:shd w:fill="13294B"/>
            <w:tcMar>
              <w:top w:w="130" w:type="dxa"/>
              <w:bottom w:w="130" w:type="dxa"/>
              <w:left w:w="200" w:type="dxa"/>
              <w:right w:w="200" w:type="dxa"/>
            </w:tcMar>
          </w:tcPr>
          <w:p>
            <w:pPr>
              <w:jc w:val="right"/>
              <w:bidi/>
            </w:pPr>
            <w:r>
              <w:rPr>
                <w:rFonts w:ascii="Carlito" w:hAnsi="Carlito" w:cs="Amiri" w:eastAsia="Amiri"/>
                <w:b/>
                <w:i w:val="0"/>
                <w:color w:val="FFFFFF"/>
                <w:sz w:val="27"/>
              </w:rPr>
              <w:t xml:space="preserve">التدقيق الداخلي  </w:t>
            </w:r>
            <w:r>
              <w:rPr>
                <w:rFonts w:ascii="Carlito" w:hAnsi="Carlito" w:cs="Amiri" w:eastAsia="Amiri"/>
                <w:b/>
                <w:i w:val="0"/>
                <w:color w:val="E8D9A0"/>
                <w:sz w:val="20"/>
              </w:rPr>
              <w:t xml:space="preserve"> [تقارير | عالٍ]</w:t>
            </w:r>
          </w:p>
          <w:p>
            <w:pPr>
              <w:spacing w:before="40"/>
              <w:jc w:val="right"/>
              <w:bidi/>
            </w:pPr>
            <w:r>
              <w:rPr>
                <w:rFonts w:ascii="Carlito" w:hAnsi="Carlito" w:cs="Amiri" w:eastAsia="Amiri"/>
                <w:b w:val="0"/>
                <w:i/>
                <w:color w:val="E8D9A0"/>
                <w:sz w:val="17"/>
              </w:rPr>
              <w:t>يعني بالدرجة الأولى: المدققون الداخليون</w:t>
            </w:r>
          </w:p>
        </w:tc>
      </w:tr>
    </w:tbl>
    <w:p>
      <w:pPr>
        <w:bidi/>
        <w:spacing w:before="80"/>
      </w:pPr>
      <w:r>
        <w:rPr>
          <w:rFonts w:ascii="Carlito" w:hAnsi="Carlito" w:cs="Amiri" w:eastAsia="Amiri"/>
          <w:b/>
          <w:i w:val="0"/>
          <w:color w:val="13294B"/>
          <w:sz w:val="24"/>
        </w:rPr>
        <w:t>تقرير جديد يوضح أن التدقيق الداخلي يركز بشكل متزايد على الأمن السيبراني</w:t>
      </w:r>
    </w:p>
    <w:p>
      <w:pPr>
        <w:bidi/>
        <w:spacing w:line="312" w:lineRule="auto" w:after="120"/>
      </w:pPr>
      <w:r>
        <w:rPr>
          <w:rFonts w:ascii="Carlito" w:hAnsi="Carlito" w:cs="Amiri" w:eastAsia="Amiri"/>
          <w:b w:val="0"/>
          <w:i w:val="0"/>
          <w:color w:val="1C2430"/>
          <w:sz w:val="22"/>
        </w:rPr>
        <w:t>تقرير جديد يوضح أن التدقيق الداخلي يركز بشكل متزايد على الأمن السيبراني.</w:t>
      </w:r>
    </w:p>
    <w:tbl>
      <w:tblPr>
        <w:tblW w:type="auto" w:w="0"/>
        <w:tblLook w:firstColumn="1" w:firstRow="1" w:lastColumn="0" w:lastRow="0" w:noHBand="0" w:noVBand="1" w:val="04A0"/>
      </w:tblPr>
      <w:tblGrid>
        <w:gridCol w:w="9936"/>
      </w:tblGrid>
      <w:tr>
        <w:tc>
          <w:tcPr>
            <w:tcW w:type="dxa" w:w="9936"/>
            <w:shd w:fill="FBF9F4"/>
            <w:tcMar>
              <w:top w:w="110" w:type="dxa"/>
              <w:bottom w:w="110" w:type="dxa"/>
              <w:left w:w="180" w:type="dxa"/>
              <w:right w:w="180" w:type="dxa"/>
            </w:tcMar>
            <w:tcBorders>
              <w:top w:val="none"/>
              <w:left w:val="none"/>
              <w:bottom w:val="none"/>
              <w:right w:val="single" w:sz="20" w:space="0" w:color="B5541A"/>
            </w:tcBorders>
          </w:tcPr>
          <w:p>
            <w:pPr>
              <w:bidi/>
            </w:pPr>
            <w:r>
              <w:rPr>
                <w:rFonts w:ascii="Carlito" w:hAnsi="Carlito" w:cs="Amiri" w:eastAsia="Amiri"/>
                <w:b/>
                <w:i w:val="0"/>
                <w:color w:val="13294B"/>
                <w:sz w:val="21"/>
              </w:rPr>
              <w:t xml:space="preserve">الأثر (Why It Matters): </w:t>
            </w:r>
            <w:r>
              <w:rPr>
                <w:rFonts w:ascii="Carlito" w:hAnsi="Carlito" w:cs="Amiri" w:eastAsia="Amiri"/>
                <w:b w:val="0"/>
                <w:i w:val="0"/>
                <w:color w:val="1C2430"/>
                <w:sz w:val="21"/>
              </w:rPr>
              <w:t>الأمن السيبراني أصبح من الأهمية القصوى في الحوكمة.</w:t>
            </w:r>
          </w:p>
          <w:p>
            <w:pPr>
              <w:bidi/>
              <w:spacing w:before="80"/>
            </w:pPr>
            <w:r>
              <w:rPr>
                <w:rFonts w:ascii="Carlito" w:hAnsi="Carlito" w:cs="Amiri" w:eastAsia="Amiri"/>
                <w:b/>
                <w:i w:val="0"/>
                <w:color w:val="13294B"/>
                <w:sz w:val="21"/>
              </w:rPr>
              <w:t xml:space="preserve">إجراءات موصى بها: </w:t>
            </w:r>
            <w:r>
              <w:rPr>
                <w:rFonts w:ascii="Carlito" w:hAnsi="Carlito" w:cs="Amiri" w:eastAsia="Amiri"/>
                <w:b w:val="0"/>
                <w:i w:val="0"/>
                <w:color w:val="1C2430"/>
                <w:sz w:val="21"/>
              </w:rPr>
              <w:t>تقييم وتحسين أنظمة الأمان السيبراني.</w:t>
            </w:r>
          </w:p>
          <w:p>
            <w:pPr>
              <w:bidi/>
              <w:spacing w:before="80"/>
            </w:pPr>
            <w:r>
              <w:rPr>
                <w:rFonts w:ascii="Carlito" w:hAnsi="Carlito" w:cs="Amiri" w:eastAsia="Amiri"/>
                <w:b/>
                <w:i w:val="0"/>
                <w:color w:val="5B6472"/>
                <w:sz w:val="19"/>
              </w:rPr>
              <w:t xml:space="preserve">المصدر: </w:t>
            </w:r>
            <w:hyperlink r:id="rId10">
              <w:r>
                <w:rPr>
                  <w:rFonts w:ascii="Carlito" w:hAnsi="Carlito" w:cs="Amiri" w:eastAsia="Amiri"/>
                  <w:sz w:val="19"/>
                  <w:u w:val="single"/>
                  <w:color w:val="C9A227"/>
                </w:rPr>
                <w:t>theiia.org</w:t>
              </w:r>
            </w:hyperlink>
          </w:p>
        </w:tc>
      </w:tr>
    </w:tbl>
    <w:p>
      <w:pPr>
        <w:spacing w:after="200"/>
      </w:pPr>
    </w:p>
    <w:tbl>
      <w:tblPr>
        <w:tblW w:type="auto" w:w="0"/>
        <w:jc w:val="center"/>
        <w:tblLook w:firstColumn="1" w:firstRow="1" w:lastColumn="0" w:lastRow="0" w:noHBand="0" w:noVBand="1" w:val="04A0"/>
      </w:tblPr>
      <w:tblGrid>
        <w:gridCol w:w="9936"/>
      </w:tblGrid>
      <w:tr>
        <w:tc>
          <w:tcPr>
            <w:tcW w:type="dxa" w:w="9936"/>
            <w:shd w:fill="13294B"/>
            <w:tcMar>
              <w:top w:w="130" w:type="dxa"/>
              <w:bottom w:w="130" w:type="dxa"/>
              <w:left w:w="200" w:type="dxa"/>
              <w:right w:w="200" w:type="dxa"/>
            </w:tcMar>
          </w:tcPr>
          <w:p>
            <w:pPr>
              <w:jc w:val="right"/>
              <w:bidi/>
            </w:pPr>
            <w:r>
              <w:rPr>
                <w:rFonts w:ascii="Carlito" w:hAnsi="Carlito" w:cs="Amiri" w:eastAsia="Amiri"/>
                <w:b/>
                <w:i w:val="0"/>
                <w:color w:val="FFFFFF"/>
                <w:sz w:val="27"/>
              </w:rPr>
              <w:t xml:space="preserve">الحوكمة  </w:t>
            </w:r>
            <w:r>
              <w:rPr>
                <w:rFonts w:ascii="Carlito" w:hAnsi="Carlito" w:cs="Amiri" w:eastAsia="Amiri"/>
                <w:b/>
                <w:i w:val="0"/>
                <w:color w:val="E8D9A0"/>
                <w:sz w:val="20"/>
              </w:rPr>
              <w:t xml:space="preserve"> [تقارير | متوسط]</w:t>
            </w:r>
          </w:p>
          <w:p>
            <w:pPr>
              <w:spacing w:before="40"/>
              <w:jc w:val="right"/>
              <w:bidi/>
            </w:pPr>
            <w:r>
              <w:rPr>
                <w:rFonts w:ascii="Carlito" w:hAnsi="Carlito" w:cs="Amiri" w:eastAsia="Amiri"/>
                <w:b w:val="0"/>
                <w:i/>
                <w:color w:val="E8D9A0"/>
                <w:sz w:val="17"/>
              </w:rPr>
              <w:t>يعني بالدرجة الأولى: الإدارة العليا</w:t>
            </w:r>
          </w:p>
        </w:tc>
      </w:tr>
    </w:tbl>
    <w:p>
      <w:pPr>
        <w:bidi/>
        <w:spacing w:before="80"/>
      </w:pPr>
      <w:r>
        <w:rPr>
          <w:rFonts w:ascii="Carlito" w:hAnsi="Carlito" w:cs="Amiri" w:eastAsia="Amiri"/>
          <w:b/>
          <w:i w:val="0"/>
          <w:color w:val="13294B"/>
          <w:sz w:val="24"/>
        </w:rPr>
        <w:t>البنك الدولي يستخدم الذكاء الاصطناعي لتحسين الشفافية والمساءلة في الحوكمة</w:t>
      </w:r>
    </w:p>
    <w:p>
      <w:pPr>
        <w:bidi/>
        <w:spacing w:line="312" w:lineRule="auto" w:after="120"/>
      </w:pPr>
      <w:r>
        <w:rPr>
          <w:rFonts w:ascii="Carlito" w:hAnsi="Carlito" w:cs="Amiri" w:eastAsia="Amiri"/>
          <w:b w:val="0"/>
          <w:i w:val="0"/>
          <w:color w:val="1C2430"/>
          <w:sz w:val="22"/>
        </w:rPr>
        <w:t>البنك الدولي يستخدم الذكاء الاصطناعي لتحسين الشفافية والمساءلة في الحوكمة.</w:t>
      </w:r>
    </w:p>
    <w:tbl>
      <w:tblPr>
        <w:tblW w:type="auto" w:w="0"/>
        <w:tblLook w:firstColumn="1" w:firstRow="1" w:lastColumn="0" w:lastRow="0" w:noHBand="0" w:noVBand="1" w:val="04A0"/>
      </w:tblPr>
      <w:tblGrid>
        <w:gridCol w:w="9936"/>
      </w:tblGrid>
      <w:tr>
        <w:tc>
          <w:tcPr>
            <w:tcW w:type="dxa" w:w="9936"/>
            <w:shd w:fill="FBF9F4"/>
            <w:tcMar>
              <w:top w:w="110" w:type="dxa"/>
              <w:bottom w:w="110" w:type="dxa"/>
              <w:left w:w="180" w:type="dxa"/>
              <w:right w:w="180" w:type="dxa"/>
            </w:tcMar>
            <w:tcBorders>
              <w:top w:val="none"/>
              <w:left w:val="none"/>
              <w:bottom w:val="none"/>
              <w:right w:val="single" w:sz="20" w:space="0" w:color="8A6D1A"/>
            </w:tcBorders>
          </w:tcPr>
          <w:p>
            <w:pPr>
              <w:bidi/>
            </w:pPr>
            <w:r>
              <w:rPr>
                <w:rFonts w:ascii="Carlito" w:hAnsi="Carlito" w:cs="Amiri" w:eastAsia="Amiri"/>
                <w:b/>
                <w:i w:val="0"/>
                <w:color w:val="13294B"/>
                <w:sz w:val="21"/>
              </w:rPr>
              <w:t xml:space="preserve">الأثر (Why It Matters): </w:t>
            </w:r>
            <w:r>
              <w:rPr>
                <w:rFonts w:ascii="Carlito" w:hAnsi="Carlito" w:cs="Amiri" w:eastAsia="Amiri"/>
                <w:b w:val="0"/>
                <w:i w:val="0"/>
                <w:color w:val="1C2430"/>
                <w:sz w:val="21"/>
              </w:rPr>
              <w:t>الذكاء الاصطناعي يمكن أن يساهم في تحسين جودة الحوكمة.</w:t>
            </w:r>
          </w:p>
          <w:p>
            <w:pPr>
              <w:bidi/>
              <w:spacing w:before="80"/>
            </w:pPr>
            <w:r>
              <w:rPr>
                <w:rFonts w:ascii="Carlito" w:hAnsi="Carlito" w:cs="Amiri" w:eastAsia="Amiri"/>
                <w:b/>
                <w:i w:val="0"/>
                <w:color w:val="13294B"/>
                <w:sz w:val="21"/>
              </w:rPr>
              <w:t xml:space="preserve">إجراءات موصى بها: </w:t>
            </w:r>
            <w:r>
              <w:rPr>
                <w:rFonts w:ascii="Carlito" w:hAnsi="Carlito" w:cs="Amiri" w:eastAsia="Amiri"/>
                <w:b w:val="0"/>
                <w:i w:val="0"/>
                <w:color w:val="1C2430"/>
                <w:sz w:val="21"/>
              </w:rPr>
              <w:t>استكشاف استخدام الذكاء الاصطناعي في تحسين الشفافية.</w:t>
            </w:r>
          </w:p>
          <w:p>
            <w:pPr>
              <w:bidi/>
              <w:spacing w:before="80"/>
            </w:pPr>
            <w:r>
              <w:rPr>
                <w:rFonts w:ascii="Carlito" w:hAnsi="Carlito" w:cs="Amiri" w:eastAsia="Amiri"/>
                <w:b/>
                <w:i w:val="0"/>
                <w:color w:val="5B6472"/>
                <w:sz w:val="19"/>
              </w:rPr>
              <w:t xml:space="preserve">المصدر: </w:t>
            </w:r>
            <w:hyperlink r:id="rId12">
              <w:r>
                <w:rPr>
                  <w:rFonts w:ascii="Carlito" w:hAnsi="Carlito" w:cs="Amiri" w:eastAsia="Amiri"/>
                  <w:sz w:val="19"/>
                  <w:u w:val="single"/>
                  <w:color w:val="C9A227"/>
                </w:rPr>
                <w:t>worldbank.org</w:t>
              </w:r>
            </w:hyperlink>
          </w:p>
        </w:tc>
      </w:tr>
    </w:tbl>
    <w:p>
      <w:pPr>
        <w:spacing w:after="200"/>
      </w:pPr>
    </w:p>
    <w:tbl>
      <w:tblPr>
        <w:tblW w:type="auto" w:w="0"/>
        <w:jc w:val="center"/>
        <w:tblLook w:firstColumn="1" w:firstRow="1" w:lastColumn="0" w:lastRow="0" w:noHBand="0" w:noVBand="1" w:val="04A0"/>
      </w:tblPr>
      <w:tblGrid>
        <w:gridCol w:w="9936"/>
      </w:tblGrid>
      <w:tr>
        <w:tc>
          <w:tcPr>
            <w:tcW w:type="dxa" w:w="9936"/>
            <w:shd w:fill="13294B"/>
            <w:tcMar>
              <w:top w:w="130" w:type="dxa"/>
              <w:bottom w:w="130" w:type="dxa"/>
              <w:left w:w="200" w:type="dxa"/>
              <w:right w:w="200" w:type="dxa"/>
            </w:tcMar>
          </w:tcPr>
          <w:p>
            <w:pPr>
              <w:jc w:val="right"/>
              <w:bidi/>
            </w:pPr>
            <w:r>
              <w:rPr>
                <w:rFonts w:ascii="Carlito" w:hAnsi="Carlito" w:cs="Amiri" w:eastAsia="Amiri"/>
                <w:b/>
                <w:i w:val="0"/>
                <w:color w:val="FFFFFF"/>
                <w:sz w:val="27"/>
              </w:rPr>
              <w:t xml:space="preserve">الرقابة الداخلية  </w:t>
            </w:r>
            <w:r>
              <w:rPr>
                <w:rFonts w:ascii="Carlito" w:hAnsi="Carlito" w:cs="Amiri" w:eastAsia="Amiri"/>
                <w:b/>
                <w:i w:val="0"/>
                <w:color w:val="E8D9A0"/>
                <w:sz w:val="20"/>
              </w:rPr>
              <w:t xml:space="preserve"> [تقارير | عالٍ]</w:t>
            </w:r>
          </w:p>
          <w:p>
            <w:pPr>
              <w:spacing w:before="40"/>
              <w:jc w:val="right"/>
              <w:bidi/>
            </w:pPr>
            <w:r>
              <w:rPr>
                <w:rFonts w:ascii="Carlito" w:hAnsi="Carlito" w:cs="Amiri" w:eastAsia="Amiri"/>
                <w:b w:val="0"/>
                <w:i/>
                <w:color w:val="E8D9A0"/>
                <w:sz w:val="17"/>
              </w:rPr>
              <w:t>يعني بالدرجة الأولى: المدققون الداخليون</w:t>
            </w:r>
          </w:p>
        </w:tc>
      </w:tr>
    </w:tbl>
    <w:p>
      <w:pPr>
        <w:bidi/>
        <w:spacing w:before="80"/>
      </w:pPr>
      <w:r>
        <w:rPr>
          <w:rFonts w:ascii="Carlito" w:hAnsi="Carlito" w:cs="Amiri" w:eastAsia="Amiri"/>
          <w:b/>
          <w:i w:val="0"/>
          <w:color w:val="13294B"/>
          <w:sz w:val="24"/>
        </w:rPr>
        <w:t>COSO يصدر إرشادات جديدة لإدارة المخاطر في الروبوتية وتحسين التقارير المالية</w:t>
      </w:r>
    </w:p>
    <w:p>
      <w:pPr>
        <w:bidi/>
        <w:spacing w:line="312" w:lineRule="auto" w:after="120"/>
      </w:pPr>
      <w:r>
        <w:rPr>
          <w:rFonts w:ascii="Carlito" w:hAnsi="Carlito" w:cs="Amiri" w:eastAsia="Amiri"/>
          <w:b w:val="0"/>
          <w:i w:val="0"/>
          <w:color w:val="1C2430"/>
          <w:sz w:val="22"/>
        </w:rPr>
        <w:t>COSO يصدر إرشادات جديدة لإدارة المخاطر في الروبوتية وتحسين التقارير المالية.</w:t>
      </w:r>
    </w:p>
    <w:tbl>
      <w:tblPr>
        <w:tblW w:type="auto" w:w="0"/>
        <w:tblLook w:firstColumn="1" w:firstRow="1" w:lastColumn="0" w:lastRow="0" w:noHBand="0" w:noVBand="1" w:val="04A0"/>
      </w:tblPr>
      <w:tblGrid>
        <w:gridCol w:w="9936"/>
      </w:tblGrid>
      <w:tr>
        <w:tc>
          <w:tcPr>
            <w:tcW w:type="dxa" w:w="9936"/>
            <w:shd w:fill="FBF9F4"/>
            <w:tcMar>
              <w:top w:w="110" w:type="dxa"/>
              <w:bottom w:w="110" w:type="dxa"/>
              <w:left w:w="180" w:type="dxa"/>
              <w:right w:w="180" w:type="dxa"/>
            </w:tcMar>
            <w:tcBorders>
              <w:top w:val="none"/>
              <w:left w:val="none"/>
              <w:bottom w:val="none"/>
              <w:right w:val="single" w:sz="20" w:space="0" w:color="B5541A"/>
            </w:tcBorders>
          </w:tcPr>
          <w:p>
            <w:pPr>
              <w:bidi/>
            </w:pPr>
            <w:r>
              <w:rPr>
                <w:rFonts w:ascii="Carlito" w:hAnsi="Carlito" w:cs="Amiri" w:eastAsia="Amiri"/>
                <w:b/>
                <w:i w:val="0"/>
                <w:color w:val="13294B"/>
                <w:sz w:val="21"/>
              </w:rPr>
              <w:t xml:space="preserve">الأثر (Why It Matters): </w:t>
            </w:r>
            <w:r>
              <w:rPr>
                <w:rFonts w:ascii="Carlito" w:hAnsi="Carlito" w:cs="Amiri" w:eastAsia="Amiri"/>
                <w:b w:val="0"/>
                <w:i w:val="0"/>
                <w:color w:val="1C2430"/>
                <w:sz w:val="21"/>
              </w:rPr>
              <w:t>الروبوتية يمكن أن تساهم في تحسين جودة التقارير المالية.</w:t>
            </w:r>
          </w:p>
          <w:p>
            <w:pPr>
              <w:bidi/>
              <w:spacing w:before="80"/>
            </w:pPr>
            <w:r>
              <w:rPr>
                <w:rFonts w:ascii="Carlito" w:hAnsi="Carlito" w:cs="Amiri" w:eastAsia="Amiri"/>
                <w:b/>
                <w:i w:val="0"/>
                <w:color w:val="13294B"/>
                <w:sz w:val="21"/>
              </w:rPr>
              <w:t xml:space="preserve">إجراءات موصى بها: </w:t>
            </w:r>
            <w:r>
              <w:rPr>
                <w:rFonts w:ascii="Carlito" w:hAnsi="Carlito" w:cs="Amiri" w:eastAsia="Amiri"/>
                <w:b w:val="0"/>
                <w:i w:val="0"/>
                <w:color w:val="1C2430"/>
                <w:sz w:val="21"/>
              </w:rPr>
              <w:t>تقييم وتحسين أنظمة الروبوتية.</w:t>
            </w:r>
          </w:p>
          <w:p>
            <w:pPr>
              <w:bidi/>
              <w:spacing w:before="80"/>
            </w:pPr>
            <w:r>
              <w:rPr>
                <w:rFonts w:ascii="Carlito" w:hAnsi="Carlito" w:cs="Amiri" w:eastAsia="Amiri"/>
                <w:b/>
                <w:i w:val="0"/>
                <w:color w:val="5B6472"/>
                <w:sz w:val="19"/>
              </w:rPr>
              <w:t xml:space="preserve">المصدر: </w:t>
            </w:r>
            <w:hyperlink r:id="rId13">
              <w:r>
                <w:rPr>
                  <w:rFonts w:ascii="Carlito" w:hAnsi="Carlito" w:cs="Amiri" w:eastAsia="Amiri"/>
                  <w:sz w:val="19"/>
                  <w:u w:val="single"/>
                  <w:color w:val="C9A227"/>
                </w:rPr>
                <w:t>coso.org</w:t>
              </w:r>
            </w:hyperlink>
          </w:p>
        </w:tc>
      </w:tr>
    </w:tbl>
    <w:p>
      <w:pPr>
        <w:spacing w:after="200"/>
      </w:pPr>
    </w:p>
    <w:p>
      <w:pPr>
        <w:bidi/>
      </w:pPr>
      <w:r>
        <w:rPr>
          <w:rFonts w:ascii="Carlito" w:hAnsi="Carlito" w:cs="Amiri" w:eastAsia="Amiri"/>
          <w:b/>
          <w:i w:val="0"/>
          <w:color w:val="13294B"/>
          <w:sz w:val="26"/>
        </w:rPr>
        <w:t>مسار الاحتراف — كيف يفكّر الكبار</w:t>
      </w:r>
    </w:p>
    <w:tbl>
      <w:tblPr>
        <w:tblW w:type="auto" w:w="0"/>
        <w:tblLook w:firstColumn="1" w:firstRow="1" w:lastColumn="0" w:lastRow="0" w:noHBand="0" w:noVBand="1" w:val="04A0"/>
      </w:tblPr>
      <w:tblGrid>
        <w:gridCol w:w="9936"/>
      </w:tblGrid>
      <w:tr>
        <w:tc>
          <w:tcPr>
            <w:tcW w:type="dxa" w:w="9936"/>
            <w:shd w:fill="FFFFFF"/>
            <w:tcMar>
              <w:top w:w="120" w:type="dxa"/>
              <w:bottom w:w="120" w:type="dxa"/>
              <w:left w:w="200" w:type="dxa"/>
              <w:right w:w="200" w:type="dxa"/>
            </w:tcMar>
            <w:tcBorders>
              <w:top w:val="single" w:sz="4" w:space="0" w:color="D8D2C2"/>
              <w:bottom w:val="single" w:sz="4" w:space="0" w:color="D8D2C2"/>
              <w:left w:val="single" w:sz="4" w:space="0" w:color="D8D2C2"/>
              <w:right w:val="single" w:sz="20" w:space="0" w:color="13294B"/>
            </w:tcBorders>
          </w:tcPr>
          <w:p>
            <w:pPr>
              <w:bidi/>
              <w:spacing w:line="312" w:lineRule="auto"/>
            </w:pPr>
            <w:r>
              <w:rPr>
                <w:rFonts w:ascii="Carlito" w:hAnsi="Carlito" w:cs="Amiri" w:eastAsia="Amiri"/>
                <w:b w:val="0"/>
                <w:i w:val="0"/>
                <w:color w:val="1C2430"/>
                <w:sz w:val="22"/>
              </w:rPr>
              <w:t>بناء شبكة علاقات مهنية بقصد، لا بالصدفة، هو ما يميّز الشركاء الكبار في شركات الاستشارة عن غيرهم من ذوي الكفاءة التقنية المماثلة.</w:t>
            </w:r>
          </w:p>
          <w:p>
            <w:pPr>
              <w:bidi/>
              <w:spacing w:before="100"/>
            </w:pPr>
            <w:r>
              <w:rPr>
                <w:rFonts w:ascii="Carlito" w:hAnsi="Carlito" w:cs="Amiri" w:eastAsia="Amiri"/>
                <w:b/>
                <w:i w:val="0"/>
                <w:color w:val="13294B"/>
                <w:sz w:val="20"/>
              </w:rPr>
              <w:t xml:space="preserve">كيف تطبّقها هذا الأسبوع: </w:t>
            </w:r>
            <w:r>
              <w:rPr>
                <w:rFonts w:ascii="Carlito" w:hAnsi="Carlito" w:cs="Amiri" w:eastAsia="Amiri"/>
                <w:b w:val="0"/>
                <w:i/>
                <w:color w:val="5B6472"/>
                <w:sz w:val="20"/>
              </w:rPr>
              <w:t>حدد شهريًا شخصًا واحدًا خارج دائرتك المباشرة تستحق معرفته، واطلب لقاء قصيرًا لفهم عمله لا لطلب شيء منه.</w:t>
            </w:r>
          </w:p>
        </w:tc>
      </w:tr>
    </w:tbl>
    <w:p>
      <w:pPr>
        <w:spacing w:after="120"/>
      </w:pPr>
    </w:p>
    <w:p>
      <w:pPr>
        <w:bidi/>
      </w:pPr>
      <w:r>
        <w:rPr>
          <w:rFonts w:ascii="Carlito" w:hAnsi="Carlito" w:cs="Amiri" w:eastAsia="Amiri"/>
          <w:b/>
          <w:i w:val="0"/>
          <w:color w:val="13294B"/>
          <w:sz w:val="26"/>
        </w:rPr>
        <w:t>لحظة توازن</w:t>
      </w:r>
    </w:p>
    <w:tbl>
      <w:tblPr>
        <w:tblW w:type="auto" w:w="0"/>
        <w:tblLook w:firstColumn="1" w:firstRow="1" w:lastColumn="0" w:lastRow="0" w:noHBand="0" w:noVBand="1" w:val="04A0"/>
      </w:tblPr>
      <w:tblGrid>
        <w:gridCol w:w="9936"/>
      </w:tblGrid>
      <w:tr>
        <w:tc>
          <w:tcPr>
            <w:tcW w:type="dxa" w:w="9936"/>
            <w:shd w:fill="FBF9F4"/>
            <w:tcMar>
              <w:top w:w="110" w:type="dxa"/>
              <w:bottom w:w="110" w:type="dxa"/>
              <w:left w:w="200" w:type="dxa"/>
              <w:right w:w="200" w:type="dxa"/>
            </w:tcMar>
          </w:tcPr>
          <w:p>
            <w:pPr>
              <w:bidi/>
              <w:spacing w:line="312" w:lineRule="auto"/>
            </w:pPr>
            <w:r>
              <w:rPr>
                <w:rFonts w:ascii="Carlito" w:hAnsi="Carlito" w:cs="Amiri" w:eastAsia="Amiri"/>
                <w:b w:val="0"/>
                <w:i/>
                <w:color w:val="1C2430"/>
                <w:sz w:val="21"/>
              </w:rPr>
              <w:t>خصّص جلسة تقييم قصيرة (Debrief) مع نفسك أو فريقك بعد إنهاء أي مهمة تدقيق مرهقة، بدل الانتقال مباشرة للمهمة التالية دون التقاط الأنفاس.</w:t>
            </w:r>
          </w:p>
        </w:tc>
      </w:tr>
    </w:tbl>
    <w:p>
      <w:pPr>
        <w:spacing w:after="160"/>
      </w:pPr>
    </w:p>
    <w:p>
      <w:pPr>
        <w:bidi/>
      </w:pPr>
      <w:r>
        <w:rPr>
          <w:rFonts w:ascii="Carlito" w:hAnsi="Carlito" w:cs="Amiri" w:eastAsia="Amiri"/>
          <w:b/>
          <w:i w:val="0"/>
          <w:color w:val="13294B"/>
          <w:sz w:val="26"/>
        </w:rPr>
        <w:t>للقراءة هذا الأسبوع (Further Reading)</w:t>
      </w:r>
    </w:p>
    <w:p>
      <w:pPr>
        <w:bidi/>
        <w:spacing w:after="80"/>
      </w:pPr>
      <w:r>
        <w:rPr>
          <w:rFonts w:ascii="Carlito" w:hAnsi="Carlito" w:cs="Amiri" w:eastAsia="Amiri"/>
          <w:b w:val="0"/>
          <w:i w:val="0"/>
          <w:color w:val="5B6472"/>
          <w:sz w:val="21"/>
        </w:rPr>
        <w:t xml:space="preserve">• تقرير — </w:t>
      </w:r>
      <w:hyperlink r:id="rId14">
        <w:r>
          <w:rPr>
            <w:rFonts w:ascii="Carlito" w:hAnsi="Carlito" w:cs="Amiri" w:eastAsia="Amiri"/>
            <w:sz w:val="21"/>
            <w:b/>
            <w:u w:val="single"/>
            <w:color w:val="C9A227"/>
          </w:rPr>
          <w:t>تقرير الشفافية لعام 2024م</w:t>
        </w:r>
      </w:hyperlink>
      <w:r>
        <w:rPr>
          <w:rFonts w:ascii="Carlito" w:hAnsi="Carlito" w:cs="Amiri" w:eastAsia="Amiri"/>
          <w:b w:val="0"/>
          <w:i w:val="0"/>
          <w:color w:val="5B6472"/>
          <w:sz w:val="19"/>
        </w:rPr>
        <w:t xml:space="preserve">  (KPMG)</w:t>
      </w:r>
    </w:p>
    <w:p>
      <w:pPr>
        <w:bidi/>
        <w:spacing w:after="80"/>
      </w:pPr>
      <w:r>
        <w:rPr>
          <w:rFonts w:ascii="Carlito" w:hAnsi="Carlito" w:cs="Amiri" w:eastAsia="Amiri"/>
          <w:b w:val="0"/>
          <w:i w:val="0"/>
          <w:color w:val="5B6472"/>
          <w:sz w:val="21"/>
        </w:rPr>
        <w:t xml:space="preserve">• تقرير — </w:t>
      </w:r>
      <w:hyperlink r:id="rId15">
        <w:r>
          <w:rPr>
            <w:rFonts w:ascii="Carlito" w:hAnsi="Carlito" w:cs="Amiri" w:eastAsia="Amiri"/>
            <w:sz w:val="21"/>
            <w:b/>
            <w:u w:val="single"/>
            <w:color w:val="C9A227"/>
          </w:rPr>
          <w:t>تحقيق المرونة في الأمن الإلكتروني من خلال نهج قائم على تحليل المخاطر</w:t>
        </w:r>
      </w:hyperlink>
      <w:r>
        <w:rPr>
          <w:rFonts w:ascii="Carlito" w:hAnsi="Carlito" w:cs="Amiri" w:eastAsia="Amiri"/>
          <w:b w:val="0"/>
          <w:i w:val="0"/>
          <w:color w:val="5B6472"/>
          <w:sz w:val="19"/>
        </w:rPr>
        <w:t xml:space="preserve">  (EY)</w:t>
      </w:r>
    </w:p>
    <w:p>
      <w:pPr>
        <w:bidi/>
        <w:spacing w:after="80"/>
      </w:pPr>
      <w:r>
        <w:rPr>
          <w:rFonts w:ascii="Carlito" w:hAnsi="Carlito" w:cs="Amiri" w:eastAsia="Amiri"/>
          <w:b w:val="0"/>
          <w:i w:val="0"/>
          <w:color w:val="5B6472"/>
          <w:sz w:val="21"/>
        </w:rPr>
        <w:t xml:space="preserve">• مقال — </w:t>
      </w:r>
      <w:hyperlink r:id="rId16">
        <w:r>
          <w:rPr>
            <w:rFonts w:ascii="Carlito" w:hAnsi="Carlito" w:cs="Amiri" w:eastAsia="Amiri"/>
            <w:sz w:val="21"/>
            <w:b/>
            <w:u w:val="single"/>
            <w:color w:val="C9A227"/>
          </w:rPr>
          <w:t>نموذج الحوكمة في السعودية: خدمة الوطن وتحقيق القيمة</w:t>
        </w:r>
      </w:hyperlink>
      <w:r>
        <w:rPr>
          <w:rFonts w:ascii="Carlito" w:hAnsi="Carlito" w:cs="Amiri" w:eastAsia="Amiri"/>
          <w:b w:val="0"/>
          <w:i w:val="0"/>
          <w:color w:val="5B6472"/>
          <w:sz w:val="19"/>
        </w:rPr>
        <w:t xml:space="preserve">  (PwC)</w:t>
      </w:r>
    </w:p>
    <w:p>
      <w:pPr>
        <w:spacing w:before="160" w:after="120"/>
        <w:pBdr>
          <w:bottom w:val="single" w:sz="8" w:space="1" w:color="C9A227"/>
        </w:pBdr>
      </w:pPr>
    </w:p>
    <w:p>
      <w:pPr>
        <w:bidi/>
      </w:pPr>
      <w:r>
        <w:rPr>
          <w:rFonts w:ascii="Carlito" w:hAnsi="Carlito" w:cs="Amiri" w:eastAsia="Amiri"/>
          <w:b/>
          <w:i w:val="0"/>
          <w:color w:val="13294B"/>
          <w:sz w:val="22"/>
        </w:rPr>
        <w:t xml:space="preserve">كتاب الأسبوع: </w:t>
      </w:r>
      <w:r>
        <w:rPr>
          <w:rFonts w:ascii="Carlito" w:hAnsi="Carlito" w:cs="Amiri" w:eastAsia="Amiri"/>
          <w:b/>
          <w:i w:val="0"/>
          <w:color w:val="1C2430"/>
          <w:sz w:val="22"/>
        </w:rPr>
        <w:t>The Fifth Discipline — Peter M. Senge</w:t>
      </w:r>
    </w:p>
    <w:p>
      <w:pPr>
        <w:bidi/>
      </w:pPr>
      <w:r>
        <w:rPr>
          <w:rFonts w:ascii="Carlito" w:hAnsi="Carlito" w:cs="Amiri" w:eastAsia="Amiri"/>
          <w:b w:val="0"/>
          <w:i/>
          <w:color w:val="5B6472"/>
          <w:sz w:val="21"/>
        </w:rPr>
        <w:t>المرجع المؤسس لمفهوم 'المؤسسة المتعلّمة'، ويقدّم أداة التفكير المنظومي (Systems Thinking) لفهم كيف تتفاعل أجزاء المؤسسة معًا بدل معالجة كل مشكلة بمعزل عن سياقها.</w:t>
      </w:r>
    </w:p>
    <w:p>
      <w:pPr>
        <w:spacing w:after="160"/>
      </w:pP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pPr>
    <w:r>
      <w:rPr>
        <w:rFonts w:ascii="Carlito" w:hAnsi="Carlito" w:cs="Amiri" w:eastAsia="Amiri"/>
        <w:b w:val="0"/>
        <w:i w:val="0"/>
        <w:color w:val="5B6472"/>
        <w:sz w:val="16"/>
      </w:rPr>
      <w:t xml:space="preserve">النشرة الأسبوعية للحوكمة والتدقيق — سري وللاستخدام الداخلي فقط  |  </w:t>
    </w:r>
    <w:r>
      <w:rPr>
        <w:rFonts w:ascii="Carlito" w:hAnsi="Carlito" w:cs="Amiri" w:eastAsia="Amiri"/>
        <w:b w:val="0"/>
        <w:i w:val="0"/>
        <w:color w:val="5B6472"/>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theiia.org/globalassets/site/content/articles/global-perspectives-and-insights/2022/global-perspectives--insights--cybersecurity-in-2022-parts-1-3/gpi_cybersecurity_2022_final_arabic.pdf" TargetMode="External"/><Relationship Id="rId11" Type="http://schemas.openxmlformats.org/officeDocument/2006/relationships/hyperlink" Target="https://www.ifrs.org/projects/work-plan/proposed-amendments-ifrs-foundation-constitution/ed-cl-constitution" TargetMode="External"/><Relationship Id="rId12" Type="http://schemas.openxmlformats.org/officeDocument/2006/relationships/hyperlink" Target="https://blogs.worldbank.org/ar/voices/how-world-bank-using-ai-and-machine-learning-better-governance" TargetMode="External"/><Relationship Id="rId13" Type="http://schemas.openxmlformats.org/officeDocument/2006/relationships/hyperlink" Target="https://www.coso.org/internal-control" TargetMode="External"/><Relationship Id="rId14" Type="http://schemas.openxmlformats.org/officeDocument/2006/relationships/hyperlink" Target="https://assets.kpmg.com/content/dam/kpmg/sa/pdf/2025/transparency-report-2024-arabic.pdf" TargetMode="External"/><Relationship Id="rId15" Type="http://schemas.openxmlformats.org/officeDocument/2006/relationships/hyperlink" Target="https://www.ey.com/content/dam/ey-unified-site/ey-com/en-ae/industries/government-public-sector/documents/ey-wgs-cyber-resilience-arabic.pdf" TargetMode="External"/><Relationship Id="rId16" Type="http://schemas.openxmlformats.org/officeDocument/2006/relationships/hyperlink" Target="https://www.pwc.com/m1/en/media-centre/articles/ksa-innovative-governance-mode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