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7  •  2026-09-28</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تحديثات في التدقيق الداخلي وتحسين الحوكمة</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شهدنا تحديثات مهمة في مجال التدقيق الداخلي وتحسين الحوكمة، بما في ذلك إصدار دليل نظام إدارة جودة التدقيق (SoAQM) من قبل INTOSAI، وتعزيز دور التدقيق في الحوكمة والامتثال. هذه التحديثات مهمة لكل من يبني خبرته المهنية في هذا المجال.</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إصدار SoAQM من قبل INTOSAI</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تركيز على الأمن السيبراني والمخاطر البيئية والاجتماعية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تحديثات على نماذج التدقيق</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2025-10-08</w:t>
            </w:r>
          </w:p>
          <w:p>
            <w:pPr>
              <w:bidi/>
              <w:spacing w:before="120" w:line="312" w:lineRule="auto"/>
            </w:pPr>
            <w:r>
              <w:rPr>
                <w:rFonts w:ascii="Carlito" w:hAnsi="Carlito" w:cs="Amiri" w:eastAsia="Amiri"/>
                <w:b w:val="0"/>
                <w:i w:val="0"/>
                <w:color w:val="1C2430"/>
                <w:sz w:val="22"/>
              </w:rPr>
              <w:t>تم إصدار النسخة النهائية من دليل نظام إدارة جودة التدقيق (SoAQM) من قبل INTOSAI، وهو مورد رئيسي مصمم لدعم المؤسسات العليا للتدقيق (SAIs) في إنشاء أنظمة قوية لإدارة جودة التدقيق تتماشى مع ISSAI 140 (المعدلة): إدارة الجودة للمؤسسات العليا للتدقيق.</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INTOSAI</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1E6B3E"/>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نظام إدارة جودة التدقيق (SoAQM) - INTOSAI</w:t>
            </w:r>
            <w:r>
              <w:rPr>
                <w:rFonts w:ascii="Carlito" w:hAnsi="Carlito" w:cs="Amiri" w:eastAsia="Amiri"/>
                <w:b/>
                <w:i w:val="0"/>
                <w:color w:val="1E6B3E"/>
                <w:sz w:val="19"/>
              </w:rPr>
              <w:t xml:space="preserve">  [INTOSAI | معيار نهائي]</w:t>
            </w:r>
          </w:p>
          <w:p>
            <w:pPr>
              <w:bidi/>
              <w:spacing w:before="60"/>
            </w:pPr>
            <w:r>
              <w:rPr>
                <w:rFonts w:ascii="Carlito" w:hAnsi="Carlito" w:cs="Amiri" w:eastAsia="Amiri"/>
                <w:b w:val="0"/>
                <w:i/>
                <w:color w:val="5B6472"/>
                <w:sz w:val="18"/>
              </w:rPr>
              <w:t>الإصدار: 2025-10-08  |  السريان: 2025-10-08</w:t>
            </w:r>
          </w:p>
          <w:p>
            <w:pPr>
              <w:bidi/>
              <w:spacing w:before="120" w:line="312" w:lineRule="auto"/>
            </w:pPr>
            <w:r>
              <w:rPr>
                <w:rFonts w:ascii="Carlito" w:hAnsi="Carlito" w:cs="Amiri" w:eastAsia="Amiri"/>
                <w:b w:val="0"/>
                <w:i w:val="0"/>
                <w:color w:val="1C2430"/>
                <w:sz w:val="21"/>
              </w:rPr>
              <w:t>تم إصدار النسخة النهائية من دليل نظام إدارة جودة التدقيق (SoAQM) من قبل INTOSAI، وهو مورد رئيسي مصمم لدعم المؤسسات العليا للتدقيق (SAIs) في إنشاء أنظمة قوية لإدارة جودة التدقيق تتماشى مع ISSAI 140 (المعدلة): إدارة الجودة للمؤسسات العليا للتدقيق.</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يقدم دليلاً شاملاً للمؤسسات العليا للتدقيق لتحسين جودة التدقيق.</w:t>
            </w:r>
          </w:p>
          <w:p>
            <w:pPr>
              <w:bidi/>
              <w:spacing w:before="160"/>
            </w:pPr>
            <w:r>
              <w:rPr>
                <w:rFonts w:ascii="Carlito" w:hAnsi="Carlito" w:cs="Amiri" w:eastAsia="Amiri"/>
                <w:b/>
                <w:i w:val="0"/>
                <w:color w:val="C9A227"/>
                <w:sz w:val="22"/>
              </w:rPr>
              <w:t xml:space="preserve">⬇ </w:t>
            </w:r>
            <w:hyperlink r:id="rId10">
              <w:r>
                <w:rPr>
                  <w:rFonts w:ascii="Carlito" w:hAnsi="Carlito" w:cs="Amiri" w:eastAsia="Amiri"/>
                  <w:sz w:val="22"/>
                  <w:b/>
                  <w:u w:val="single"/>
                  <w:color w:val="C9A227"/>
                </w:rPr>
                <w:t>تحميل / الاطلاع على INTOSAI</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عناصر الملاحظة الرقابية (الـ 5C)</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كل ملاحظة تدقيق سليمة تحتوي خمسة عناصر إلزامية: الحالة (Condition — ماذا وجدت فعليًا)، المعيار (Criteria — ما المرجع الذي قِستَ به)، السبب (Cause — لماذا حدث الانحراف)، الأثر (Effect — ما نتيجته الفعلية أو المحتملة)، والتوصية (Recommendation — الإجراء المحدد المطلوب). غياب أي عنصر يجعل الملاحظة رأيًا شخصيًا لا حكمًا مهنيًا مبنيًا على دليل.</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"هناك مشاكل في عملية الجرد. يجب تحسين الرقابة على المخزون."</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"من عينة 40 صنفًا فُحِصَت (الحالة)، لم يتطابق الرصيد الفعلي مع السجل المحاسبي في 12 صنفًا، بفروقات بين 5 و120 وحدة، خلافًا لسياسة الجرد الدوري المعتمدة التي تشترط مطابقة شهرية كاملة (المعيار). يعود ذلك لغياب فصل بين من يستلم الصنف ومن يسجّله في النظام (السبب). هذا يعرّض المؤسسة لفاقد مخزوني مقدَّر بـ X سنويًا دون اكتشاف مبكر (الأثر). نوصي بفصل مهمتي الاستلام والتسجيل خلال 30 يومًا (التوصية)."</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المثال الأول رأي عام لا يمكن التحقق منه أو التصرف بناءً عليه. المثال الثاني قابل للتحقق (رقم عينة محدد)، يحدد المرجع (فلا يبدو حكمًا شخصيًا)، يفسر الجذر لا العرض فقط، ويربط بتوصية زمنية محددة قابلة للمتابعة لاحقًا.</w:t>
            </w:r>
          </w:p>
        </w:tc>
      </w:tr>
    </w:tbl>
    <w:p>
      <w:pPr>
        <w:spacing w:after="160"/>
      </w:pPr>
    </w:p>
    <w:p>
      <w:pPr>
        <w:bidi/>
      </w:pPr>
      <w:r>
        <w:rPr>
          <w:rFonts w:ascii="Carlito" w:hAnsi="Carlito" w:cs="Amiri" w:eastAsia="Amiri"/>
          <w:b/>
          <w:i w:val="0"/>
          <w:color w:val="13294B"/>
          <w:sz w:val="26"/>
        </w:rPr>
        <w:t>🧠 ومضة إدارية — إدارة الأصول الثابتة والمخزون (Fixed Asset &amp; Inventory Management)</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سجل الأصول (Asset Register) الدقيق هو خط الدفاع الأول ضد الفاقد والتلاعب، وأول شيء يفحصه أي مدقق مبتدئ عند تدقيق أي وحدة تملك أصولاً مادية. يجب أن يتضمن السجل لكل أصل: تاريخ الاقتناء، القيمة الدفترية، معدل ووتيرة الإهلاك، الموقع الفعلي الحالي، والشخص المسؤول عنه (Custodian).</w:t>
            </w:r>
          </w:p>
          <w:p>
            <w:pPr>
              <w:bidi/>
              <w:spacing w:line="312" w:lineRule="auto" w:before="120"/>
            </w:pPr>
            <w:r>
              <w:rPr>
                <w:rFonts w:ascii="Carlito" w:hAnsi="Carlito" w:cs="Amiri" w:eastAsia="Amiri"/>
                <w:b w:val="0"/>
                <w:i w:val="0"/>
                <w:color w:val="1C2430"/>
                <w:sz w:val="22"/>
              </w:rPr>
              <w:t>أما المخزون فيحتاج جردًا فعليًا دوريًا (Physical Count) يُقارَن مباشرة بالسجل المحاسبي — وهنا يكمن اختبار المدقق الحقيقي: الفارق بين ما تقوله الأوراق وما تراه العين. الجرد وحده لا يكفي؛ يحتاج ضوابط وصول صارمة للمستودعات وفصلاً واضحًا بين ثلاثة أدوار: من يطلب الصنف، من يستلمه فعليًا، ومن يسجّله محاسبيًا — تطبيق مباشر لمبدأ الفصل بين المهام (Segregation of Duties). إن كان نفس الشخص يقوم بالأدوار الثلاثة، فلا رقابة حقيقية مهما بدت الأوراق منظمة.</w:t>
            </w:r>
          </w:p>
          <w:p>
            <w:pPr>
              <w:bidi/>
              <w:spacing w:line="312" w:lineRule="auto" w:before="120"/>
            </w:pPr>
            <w:r>
              <w:rPr>
                <w:rFonts w:ascii="Carlito" w:hAnsi="Carlito" w:cs="Amiri" w:eastAsia="Amiri"/>
                <w:b w:val="0"/>
                <w:i w:val="0"/>
                <w:color w:val="1C2430"/>
                <w:sz w:val="22"/>
              </w:rPr>
              <w:t>مثال عملي من الميدان: مدقق يفحص مستودعًا يجد أن الجرد الفعلي أظهر نقصًا متكررًا في صنف واحد بعينه كل ثلاثة أشهر تقريبًا، بكميات صغيرة في كل مرة. النقص الصغير المتكرر أخطر إحصائيًا من نقص كبير مرة واحدة، لأنه يشير لنمط منهجي (تسريب بطيء) لا لخطأ عرضي — وهذا بالضبط نوع الملاحظة التي تُميّز مدققًا متمرسًا عن مبتدئ يكتفي بتسجيل "وُجد نقص" دون تحليل النمط.</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أي فارق متكرر (حتى الصغير) بين الجرد الفعلي والسجل المحاسبي أخطر من فارق كبير لمرة واحدة — ابحث عن النمط لا الحجم فقط</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تحقق دومًا من الفصل بين طلب الصنف واستلامه وتسجيله محاسبيًا؛ تكرار الدور في شخص واحد علامة إنذار قائمة بذاتها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أصل مُهلَك دفتريًا بالكامل (Fully Depreciated) وما زال قيد الاستخدام الفعلي يحتاج توثيقًا خاصًا لا تجاهلاً</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الامتثال  </w:t>
            </w:r>
            <w:r>
              <w:rPr>
                <w:rFonts w:ascii="Carlito" w:hAnsi="Carlito" w:cs="Amiri" w:eastAsia="Amiri"/>
                <w:b w:val="0"/>
                <w:i/>
                <w:color w:val="E8D9A0"/>
                <w:sz w:val="22"/>
              </w:rPr>
              <w:t>(Compliance)</w:t>
            </w:r>
          </w:p>
          <w:p>
            <w:pPr>
              <w:bidi/>
              <w:spacing w:before="120" w:line="312" w:lineRule="auto"/>
            </w:pPr>
            <w:r>
              <w:rPr>
                <w:rFonts w:ascii="Carlito" w:hAnsi="Carlito" w:cs="Amiri" w:eastAsia="Amiri"/>
                <w:b w:val="0"/>
                <w:i w:val="0"/>
                <w:color w:val="FFFFFF"/>
                <w:sz w:val="21"/>
              </w:rPr>
              <w:t>الالتزام الفعلي بالقوانين واللوائح التنظيمية والسياسات الداخلية المنطبقة على نشاط المؤسسة، لا مجرد وجود هذه القواعد مكتوبة في دليل.</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الامتثال الشكلي عند الحد الأدنى القانوني المطلوب يختلف جوهريًا عن ثقافة امتثال حقيقية متجذرة فعليًا في سلوك العاملين اليومي المعتاد.</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[تحديثات على نماذج التدقيق | متوسط]</w:t>
            </w:r>
          </w:p>
          <w:p>
            <w:pPr>
              <w:spacing w:before="40"/>
              <w:jc w:val="right"/>
              <w:bidi/>
            </w:pPr>
            <w:r>
              <w:rPr>
                <w:rFonts w:ascii="Carlito" w:hAnsi="Carlito" w:cs="Amiri" w:eastAsia="Amiri"/>
                <w:b w:val="0"/>
                <w:i/>
                <w:color w:val="E8D9A0"/>
                <w:sz w:val="17"/>
              </w:rPr>
              <w:t>🎓 المهارة المكتسبة: تحليل تقارير التدقيق</w:t>
            </w:r>
          </w:p>
        </w:tc>
      </w:tr>
    </w:tbl>
    <w:p>
      <w:pPr>
        <w:bidi/>
        <w:spacing w:before="80"/>
      </w:pPr>
      <w:r>
        <w:rPr>
          <w:rFonts w:ascii="Carlito" w:hAnsi="Carlito" w:cs="Amiri" w:eastAsia="Amiri"/>
          <w:b/>
          <w:i w:val="0"/>
          <w:color w:val="13294B"/>
          <w:sz w:val="24"/>
        </w:rPr>
        <w:t>تحديثات على نماذج التدقيق</w:t>
      </w:r>
    </w:p>
    <w:p>
      <w:pPr>
        <w:bidi/>
        <w:spacing w:line="312" w:lineRule="auto" w:after="120"/>
      </w:pPr>
      <w:r>
        <w:rPr>
          <w:rFonts w:ascii="Carlito" w:hAnsi="Carlito" w:cs="Amiri" w:eastAsia="Amiri"/>
          <w:b w:val="0"/>
          <w:i w:val="0"/>
          <w:color w:val="1C2430"/>
          <w:sz w:val="22"/>
        </w:rPr>
        <w:t>INTOSAI نشرت تحديثات على نماذج التدقيق، مما يعزز دور التدقيق في الحوكمة والامتثال. هذه التحديثات تشمل التركيز على الأمن السيبراني والمخاطر البيئية والاجتماعية.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8A6D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تحسين جودة التدقيق يساهم في تحسين الحوكمة والامتثال.</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التحديثات على نماذج التدقيق ودمجها في عمليات التدقيق.</w:t>
            </w:r>
          </w:p>
          <w:p>
            <w:pPr>
              <w:bidi/>
              <w:spacing w:before="80"/>
            </w:pPr>
            <w:r>
              <w:rPr>
                <w:rFonts w:ascii="Carlito" w:hAnsi="Carlito" w:cs="Amiri" w:eastAsia="Amiri"/>
                <w:b/>
                <w:i w:val="0"/>
                <w:color w:val="5B6472"/>
                <w:sz w:val="19"/>
              </w:rPr>
              <w:t xml:space="preserve">المصدر: </w:t>
            </w:r>
            <w:hyperlink r:id="rId11">
              <w:r>
                <w:rPr>
                  <w:rFonts w:ascii="Carlito" w:hAnsi="Carlito" w:cs="Amiri" w:eastAsia="Amiri"/>
                  <w:sz w:val="19"/>
                  <w:u w:val="single"/>
                  <w:color w:val="C9A227"/>
                </w:rPr>
                <w:t>INTOSAI</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[إصدار SoAQM | حرج]</w:t>
            </w:r>
          </w:p>
          <w:p>
            <w:pPr>
              <w:spacing w:before="40"/>
              <w:jc w:val="right"/>
              <w:bidi/>
            </w:pPr>
            <w:r>
              <w:rPr>
                <w:rFonts w:ascii="Carlito" w:hAnsi="Carlito" w:cs="Amiri" w:eastAsia="Amiri"/>
                <w:b w:val="0"/>
                <w:i/>
                <w:color w:val="E8D9A0"/>
                <w:sz w:val="17"/>
              </w:rPr>
              <w:t>🎓 المهارة المكتسبة: إدارة جودة التدقيق</w:t>
            </w:r>
          </w:p>
        </w:tc>
      </w:tr>
    </w:tbl>
    <w:p>
      <w:pPr>
        <w:bidi/>
        <w:spacing w:before="80"/>
      </w:pPr>
      <w:r>
        <w:rPr>
          <w:rFonts w:ascii="Carlito" w:hAnsi="Carlito" w:cs="Amiri" w:eastAsia="Amiri"/>
          <w:b/>
          <w:i w:val="0"/>
          <w:color w:val="13294B"/>
          <w:sz w:val="24"/>
        </w:rPr>
        <w:t>إصدار SoAQM من قبل INTOSAI</w:t>
      </w:r>
    </w:p>
    <w:p>
      <w:pPr>
        <w:bidi/>
        <w:spacing w:line="312" w:lineRule="auto" w:after="120"/>
      </w:pPr>
      <w:r>
        <w:rPr>
          <w:rFonts w:ascii="Carlito" w:hAnsi="Carlito" w:cs="Amiri" w:eastAsia="Amiri"/>
          <w:b w:val="0"/>
          <w:i w:val="0"/>
          <w:color w:val="1C2430"/>
          <w:sz w:val="22"/>
        </w:rPr>
        <w:t>INTOSAI أصدرت النسخة النهائية من دليل نظام إدارة جودة التدقيق (SoAQM)، وهو مورد رئيسي مصمم لدعم المؤسسات العليا للتدقيق (SAIs) في إنشاء أنظمة قوية لإدارة جودة التدقيق.</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8C1D1D"/>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يقدم دليلاً شاملاً للمؤسسات العليا للتدقيق لتحسين جودة التدقيق.</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الدليل النهائي لـ SoAQM ودمجه في عمليات التدقيق.</w:t>
            </w:r>
          </w:p>
          <w:p>
            <w:pPr>
              <w:bidi/>
              <w:spacing w:before="8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INTOSAI</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فعالية إدارة عقود الاستشاريين والخبراء الخارجيين</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الاستعانة بخبرات استشارية خارجية تحقق القيمة المتوقعة فعليًا، لا مجرد إنفاق مُبرَّر شكليًا.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يوجد تبرير موثق لكل تعاقد استشاري يوضح لماذا لا تكفي الكفاءة الداخلية المتاحة؟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مخرجات كل عقد استشاري محددة بوضوح قابل للقياس (Deliverables) في العقد نفسه، أم بصياغة عامة فضفاضة؟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تُقيَّم جودة العمل الاستشاري المُسلَّم فعليًا قبل صرف الدفعة النهائية؟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آلية لنقل المعرفة من الاستشاري للفريق الداخلي، أم تُفقَد الخبرة كاملة بانتهاء العقد؟</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عقود استشارية تُجدَّد تلقائيًا لسنوات متتالية دون تقييم أداء موثق فعلي، أو مخرجات وصفية عامة ('تقرير توصيات') دون معايير قبول واضحة محددة سلفًا.</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مواءمة مؤشرات الأداء الرئيسية مع الأهداف الاستراتيجية الفعلية</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المؤشرات المُتابَعة فعليًا (لا المُعلَنة فقط) تعكس حقًا الأولويات الاستراتيجية المعتمدة، لا أنشطة سهلة القياس فقط.</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لكل هدف استراتيجي معتمد، هل يوجد مؤشر أداء واحد على الأقل يقيسه مباشرة، أم أن بعض الأهداف بلا أي مؤشر متابَع؟</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المؤشرات المتابَعة فعليًا في التقارير الشهرية تطابق ما نص عليه الوثيقة الاستراتيجية، أم انحرفت عنها بمرور الوقت؟</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كم مؤشرًا من إجمالي المؤشرات المُتابَعة يقيس نتيجة (Outcome) فعلية مقابل نشاط (Output)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تُتخذ قرارات فعلية موثقة بناءً على تحرك هذه المؤشرات، أم تُعرَض فقط دون أثر ملموس؟</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أهداف استراتيجية طموحة ("الريادة في القطاع") بلا أي مؤشر كمي مرتبط بها إطلاقًا، أو مؤشرات تتغير تعريفاتها من سنة لأخرى بما يسهّل "تحقيقها" شكليًا.</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إتقان فن الإصغاء قبل إتقان فن الإقناع — أكثر ما يميّز المستشارين والمدققين الموثوقين قدرتهم على فهم المشكلة الحقيقية بدقة قبل اقتراح أي حل، بدل القفز مباشرة لحل جاهز مبني على افتراضات غير مؤكَّدة.</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في اجتماعك القادم مع الوحدة المدقَّقة، التزم بألا تطرح أي حل أو توصية قبل أن تُعيد صياغة فهمك للمشكلة بصوت عالٍ ويؤكد محدثك صحة فهمك أولاً.</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افصل بوعي بين وقت العمل ووقت الراحة حتى عند العمل من المنزل أو في السفر لمهمة ميدانية؛ طقس بسيط كإغلاق الحاسوب فعليًا (لا مجرد تصغير النافذة) يشير لذهنك بوضوح بانتهاء يوم العمل فعلاً، لا مجرد توقف مؤقت قابل للاستئناف في أي لحظة.</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2">
        <w:r>
          <w:rPr>
            <w:rFonts w:ascii="Carlito" w:hAnsi="Carlito" w:cs="Amiri" w:eastAsia="Amiri"/>
            <w:sz w:val="21"/>
            <w:b/>
            <w:u w:val="single"/>
            <w:color w:val="C9A227"/>
          </w:rPr>
          <w:t>حوكمة - ويكيبيديا</w:t>
        </w:r>
      </w:hyperlink>
      <w:r>
        <w:rPr>
          <w:rFonts w:ascii="Carlito" w:hAnsi="Carlito" w:cs="Amiri" w:eastAsia="Amiri"/>
          <w:b w:val="0"/>
          <w:i w:val="0"/>
          <w:color w:val="5B6472"/>
          <w:sz w:val="19"/>
        </w:rPr>
        <w:t xml:space="preserve">  (ويكيبيديا)</w:t>
      </w:r>
    </w:p>
    <w:p>
      <w:pPr>
        <w:bidi/>
        <w:spacing w:after="80"/>
      </w:pPr>
      <w:r>
        <w:rPr>
          <w:rFonts w:ascii="Carlito" w:hAnsi="Carlito" w:cs="Amiri" w:eastAsia="Amiri"/>
          <w:b w:val="0"/>
          <w:i w:val="0"/>
          <w:color w:val="5B6472"/>
          <w:sz w:val="21"/>
        </w:rPr>
        <w:t xml:space="preserve">• مقال — </w:t>
      </w:r>
      <w:hyperlink r:id="rId13">
        <w:r>
          <w:rPr>
            <w:rFonts w:ascii="Carlito" w:hAnsi="Carlito" w:cs="Amiri" w:eastAsia="Amiri"/>
            <w:sz w:val="21"/>
            <w:b/>
            <w:u w:val="single"/>
            <w:color w:val="C9A227"/>
          </w:rPr>
          <w:t>الحوكمة: مفهومها وأهميتها في تحقيق الكفاءة والشفافية - أكاديمية م...</w:t>
        </w:r>
      </w:hyperlink>
      <w:r>
        <w:rPr>
          <w:rFonts w:ascii="Carlito" w:hAnsi="Carlito" w:cs="Amiri" w:eastAsia="Amiri"/>
          <w:b w:val="0"/>
          <w:i w:val="0"/>
          <w:color w:val="5B6472"/>
          <w:sz w:val="19"/>
        </w:rPr>
        <w:t xml:space="preserve">  (أكاديمية م...)</w:t>
      </w:r>
    </w:p>
    <w:p>
      <w:pPr>
        <w:bidi/>
        <w:spacing w:after="80"/>
      </w:pPr>
      <w:r>
        <w:rPr>
          <w:rFonts w:ascii="Carlito" w:hAnsi="Carlito" w:cs="Amiri" w:eastAsia="Amiri"/>
          <w:b w:val="0"/>
          <w:i w:val="0"/>
          <w:color w:val="5B6472"/>
          <w:sz w:val="21"/>
        </w:rPr>
        <w:t xml:space="preserve">• مقال — </w:t>
      </w:r>
      <w:hyperlink r:id="rId14">
        <w:r>
          <w:rPr>
            <w:rFonts w:ascii="Carlito" w:hAnsi="Carlito" w:cs="Amiri" w:eastAsia="Amiri"/>
            <w:sz w:val="21"/>
            <w:b/>
            <w:u w:val="single"/>
            <w:color w:val="C9A227"/>
          </w:rPr>
          <w:t>أساسيات الحوكمة ومبادئها: دليل مبسط لفهم الحوكمة المؤسسية</w:t>
        </w:r>
      </w:hyperlink>
      <w:r>
        <w:rPr>
          <w:rFonts w:ascii="Carlito" w:hAnsi="Carlito" w:cs="Amiri" w:eastAsia="Amiri"/>
          <w:b w:val="0"/>
          <w:i w:val="0"/>
          <w:color w:val="5B6472"/>
          <w:sz w:val="19"/>
        </w:rPr>
        <w:t xml:space="preserve">  (أكاديمية م...)</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The Effective Executive — Peter Drucker</w:t>
      </w:r>
    </w:p>
    <w:p>
      <w:pPr>
        <w:bidi/>
      </w:pPr>
      <w:r>
        <w:rPr>
          <w:rFonts w:ascii="Carlito" w:hAnsi="Carlito" w:cs="Amiri" w:eastAsia="Amiri"/>
          <w:b w:val="0"/>
          <w:i/>
          <w:color w:val="5B6472"/>
          <w:sz w:val="21"/>
        </w:rPr>
        <w:t>أحد أصدق الكتب حول الفعالية الإدارية: يذكّر أن الفعالية عادة تُكتسَب بالممارسة المنضبطة، لا موهبة فطرية.</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طبّق قاعدة دراكر البسيطة: قبل قبول أي مهمة جديدة، اسأل "ما الذي يجب أن أتوقف عن فعله لأتفرغ لهذا؟".</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tosai.org/ar/%D8%A7%D9%84%D8%AA%D8%B8%D8%A7%D9%87%D8%B1%D8%A7%D8%AA/%D8%A7%D9%84%D8%AA%D8%B8%D8%A7%D9%87%D8%B1%D8%A7%D8%AA-%D8%A7%D9%84%D8%AD%D8%A7%D9%84%D9%8A%D8%A9/%D8%A7%D9%84%D8%AA%D9%81%D8%A7%D8%B5%D9%8A%D9%84/2025-10-08-idi-soaqm-playbook.html" TargetMode="External"/><Relationship Id="rId11" Type="http://schemas.openxmlformats.org/officeDocument/2006/relationships/hyperlink" Target="http://theiia.org/en/resources/translated-content-search" TargetMode="External"/><Relationship Id="rId12" Type="http://schemas.openxmlformats.org/officeDocument/2006/relationships/hyperlink" Target="https://ar.wikipedia.org/wiki/&#1581;&#1608;&#1603;&#1605;&#1577;" TargetMode="External"/><Relationship Id="rId13" Type="http://schemas.openxmlformats.org/officeDocument/2006/relationships/hyperlink" Target="https://spskills.com/articles/&#1575;&#1604;&#1581;&#1608;&#1603;&#1605;&#1577;-&#1605;&#1601;&#1607;&#1608;&#1605;&#1607;&#1575;-&#1608;&#1571;&#1607;&#1605;&#1610;&#1578;&#1607;&#1575;" TargetMode="External"/><Relationship Id="rId14" Type="http://schemas.openxmlformats.org/officeDocument/2006/relationships/hyperlink" Target="https://spskills.com/articles/&#1571;&#1587;&#1575;&#1587;&#1610;&#1575;&#1578;-&#1575;&#1604;&#1581;&#1608;&#1603;&#1605;&#1577;-&#1608;-&#1605;&#1576;&#1575;&#1583;&#1574;&#1607;&#1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