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0B1F3A"/>
            <w:tcMar>
              <w:top w:w="900" w:type="dxa"/>
              <w:bottom w:w="900" w:type="dxa"/>
              <w:left w:w="500" w:type="dxa"/>
              <w:right w:w="500" w:type="dxa"/>
            </w:tcMar>
          </w:tcPr>
          <w:p>
            <w:pPr>
              <w:jc w:val="center"/>
              <w:bidi/>
            </w:pPr>
            <w:r>
              <w:rPr>
                <w:rFonts w:ascii="Carlito" w:hAnsi="Carlito" w:cs="Amiri" w:eastAsia="Amiri"/>
                <w:b/>
                <w:i w:val="0"/>
                <w:color w:val="E8D9A0"/>
                <w:sz w:val="22"/>
              </w:rPr>
              <w:t>العدد 6  •  2026-09-21</w:t>
            </w:r>
          </w:p>
          <w:p>
            <w:pPr>
              <w:spacing w:before="280"/>
              <w:jc w:val="center"/>
              <w:bidi/>
            </w:pPr>
            <w:r>
              <w:rPr>
                <w:rFonts w:ascii="Carlito" w:hAnsi="Carlito" w:cs="Amiri" w:eastAsia="Amiri"/>
                <w:b/>
                <w:i w:val="0"/>
                <w:color w:val="FFFFFF"/>
                <w:sz w:val="52"/>
              </w:rPr>
              <w:t>النشرة الأسبوعية للحوكمة والتدقيق الداخلي</w:t>
            </w:r>
          </w:p>
          <w:p>
            <w:pPr>
              <w:spacing w:before="200"/>
              <w:jc w:val="center"/>
              <w:bidi/>
            </w:pPr>
            <w:r>
              <w:rPr>
                <w:rFonts w:ascii="Carlito" w:hAnsi="Carlito" w:cs="Amiri" w:eastAsia="Amiri"/>
                <w:b w:val="0"/>
                <w:i/>
                <w:color w:val="C9A227"/>
                <w:sz w:val="28"/>
              </w:rPr>
              <w:t>تقنيات التدقيق الجديدة وتأثيرها على تحسين الكفاءة المهنية</w:t>
            </w:r>
          </w:p>
          <w:p>
            <w:pPr>
              <w:spacing w:before="320"/>
              <w:jc w:val="center"/>
              <w:bidi/>
            </w:pPr>
            <w:r>
              <w:rPr>
                <w:rFonts w:ascii="Carlito" w:hAnsi="Carlito" w:cs="Amiri" w:eastAsia="Amiri"/>
                <w:b w:val="0"/>
                <w:i w:val="0"/>
                <w:color w:val="E8D9A0"/>
                <w:sz w:val="17"/>
              </w:rPr>
              <w:t>التدقيق الداخلي (Internal Audit) • تدقيق الأداء (Performance Audit) • تدقيق الالتزام (Compliance Audit) • تدقيق تكنولوجيا المعلومات (IT Audit) • الحوكمة (Governance) • الرقابة الداخلية (Internal Controls) • إدارة المخاطر (Risk Management) • الموارد البشرية (HR) • المحاسبة الإدارية (Management Accounting) • إصلاح وتحول القطاع العام (Public Sector Reform)</w:t>
            </w:r>
          </w:p>
        </w:tc>
      </w:tr>
    </w:tbl>
    <w:p/>
    <w:p>
      <w:pPr>
        <w:bidi/>
        <w:spacing w:after="80"/>
      </w:pPr>
      <w:r>
        <w:rPr>
          <w:rFonts w:ascii="Carlito" w:hAnsi="Carlito" w:cs="Amiri" w:eastAsia="Amiri"/>
          <w:b/>
          <w:i w:val="0"/>
          <w:color w:val="13294B"/>
          <w:sz w:val="26"/>
        </w:rPr>
        <w:t>✉️ كلمة التحرير</w:t>
      </w:r>
    </w:p>
    <w:p>
      <w:pPr>
        <w:bidi/>
        <w:spacing w:line="312" w:lineRule="auto"/>
      </w:pPr>
      <w:r>
        <w:rPr>
          <w:rFonts w:ascii="Carlito" w:hAnsi="Carlito" w:cs="Amiri" w:eastAsia="Amiri"/>
          <w:b w:val="0"/>
          <w:i/>
          <w:color w:val="5B6472"/>
          <w:sz w:val="23"/>
        </w:rPr>
        <w:t>في هذا الأسبوع، نرى كيف أن تطبيقات الذكاء الاصطناعي وتحليل البيانات تتحول من مجرد تكنولوجيا إلى أدوات أساسية في التدقيق الداخلي، مما يعزز الكفاءة ويقلل من المخاطر. هذا التحول يستحق انتباهنا لأنه يفتح آفاقًا جديدة للابتكار في مجال التدقيق.</w:t>
      </w:r>
    </w:p>
    <w:p>
      <w:pPr>
        <w:spacing w:after="80"/>
      </w:pPr>
    </w:p>
    <w:p>
      <w:pPr>
        <w:bidi/>
      </w:pPr>
      <w:r>
        <w:rPr>
          <w:rFonts w:ascii="Carlito" w:hAnsi="Carlito" w:cs="Amiri" w:eastAsia="Amiri"/>
          <w:b/>
          <w:i w:val="0"/>
          <w:color w:val="13294B"/>
          <w:sz w:val="26"/>
        </w:rPr>
        <w:t>⚡ لمحة الأسبوع</w:t>
      </w:r>
    </w:p>
    <w:tbl>
      <w:tblPr>
        <w:tblW w:type="auto" w:w="0"/>
        <w:jc w:val="center"/>
        <w:tblLook w:firstColumn="1" w:firstRow="1" w:lastColumn="0" w:lastRow="0" w:noHBand="0" w:noVBand="1" w:val="04A0"/>
      </w:tblPr>
      <w:tblGrid>
        <w:gridCol w:w="9936"/>
      </w:tblGrid>
      <w:tr>
        <w:tc>
          <w:tcPr>
            <w:tcW w:type="dxa" w:w="9936"/>
            <w:shd w:fill="13294B"/>
            <w:tcMar>
              <w:top w:w="140" w:type="dxa"/>
              <w:bottom w:w="140" w:type="dxa"/>
              <w:left w:w="220" w:type="dxa"/>
              <w:right w:w="220" w:type="dxa"/>
            </w:tcMar>
          </w:tcPr>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تطبيق الذكاء الاصطناعي في التدقيق الداخلي لتحليل البيانات وتحديد المخاطر.</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تحسين الامتثال التنظيمي من خلال استخدام تقنيات التحليل المتقدمة.</w:t>
            </w:r>
          </w:p>
          <w:p>
            <w:pPr>
              <w:bidi/>
              <w:spacing w:after="120"/>
            </w:pPr>
            <w:r>
              <w:rPr>
                <w:rFonts w:ascii="Carlito" w:hAnsi="Carlito" w:cs="Amiri" w:eastAsia="Amiri"/>
                <w:b/>
                <w:i w:val="0"/>
                <w:color w:val="C9A227"/>
                <w:sz w:val="22"/>
              </w:rPr>
              <w:t xml:space="preserve">◆ </w:t>
            </w:r>
            <w:r>
              <w:rPr>
                <w:rFonts w:ascii="Carlito" w:hAnsi="Carlito" w:cs="Amiri" w:eastAsia="Amiri"/>
                <w:b w:val="0"/>
                <w:i w:val="0"/>
                <w:color w:val="FFFFFF"/>
                <w:sz w:val="22"/>
              </w:rPr>
              <w:t>زيادة الشفافية والمساءلة في الحكومات من خلال تقنيات التدقيق الحديثة.</w:t>
            </w:r>
          </w:p>
        </w:tc>
      </w:tr>
    </w:tbl>
    <w:p>
      <w:pPr>
        <w:spacing w:after="160"/>
      </w:pPr>
    </w:p>
    <w:tbl>
      <w:tblPr>
        <w:tblW w:type="auto" w:w="0"/>
        <w:jc w:val="center"/>
        <w:tblLook w:firstColumn="1" w:firstRow="1" w:lastColumn="0" w:lastRow="0" w:noHBand="0" w:noVBand="1" w:val="04A0"/>
      </w:tblPr>
      <w:tblGrid>
        <w:gridCol w:w="2484"/>
        <w:gridCol w:w="2484"/>
        <w:gridCol w:w="2484"/>
        <w:gridCol w:w="2484"/>
      </w:tblGrid>
      <w:tr>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إجمالي التحديثات</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معايير جديدة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أولوية عالية</w:t>
            </w:r>
          </w:p>
        </w:tc>
        <w:tc>
          <w:tcPr>
            <w:tcW w:type="dxa" w:w="2484"/>
            <w:shd w:fill="13294B"/>
            <w:tcMar>
              <w:top w:w="100" w:type="dxa"/>
              <w:bottom w:w="80" w:type="dxa"/>
              <w:left w:w="150" w:type="dxa"/>
              <w:right w:w="150" w:type="dxa"/>
            </w:tcMar>
          </w:tcPr>
          <w:p>
            <w:pPr>
              <w:jc w:val="center"/>
              <w:bidi/>
            </w:pPr>
            <w:r>
              <w:rPr>
                <w:rFonts w:ascii="Carlito" w:hAnsi="Carlito" w:cs="Amiri" w:eastAsia="Amiri"/>
                <w:b/>
                <w:i w:val="0"/>
                <w:color w:val="FFFFFF"/>
                <w:sz w:val="19"/>
              </w:rPr>
              <w:t>المجالات المغطاة</w:t>
            </w:r>
          </w:p>
        </w:tc>
      </w:tr>
      <w:tr>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8C1D1D"/>
                <w:sz w:val="36"/>
              </w:rPr>
              <w:t>1</w:t>
            </w:r>
          </w:p>
        </w:tc>
        <w:tc>
          <w:tcPr>
            <w:tcW w:type="dxa" w:w="2484"/>
            <w:shd w:fill="FBF9F4"/>
            <w:tcMar>
              <w:top w:w="140" w:type="dxa"/>
              <w:bottom w:w="140" w:type="dxa"/>
              <w:left w:w="150" w:type="dxa"/>
              <w:right w:w="150" w:type="dxa"/>
            </w:tcMar>
          </w:tcPr>
          <w:p>
            <w:pPr>
              <w:jc w:val="center"/>
            </w:pPr>
            <w:r>
              <w:rPr>
                <w:rFonts w:ascii="Carlito" w:hAnsi="Carlito" w:cs="Amiri" w:eastAsia="Amiri"/>
                <w:b/>
                <w:i w:val="0"/>
                <w:color w:val="C9A227"/>
                <w:sz w:val="36"/>
              </w:rPr>
              <w:t>1</w:t>
            </w:r>
          </w:p>
        </w:tc>
      </w:tr>
    </w:tbl>
    <w:p>
      <w:pPr>
        <w:spacing w:after="160"/>
      </w:pPr>
    </w:p>
    <w:p>
      <w:pPr>
        <w:bidi/>
      </w:pPr>
      <w:r>
        <w:rPr>
          <w:rFonts w:ascii="Carlito" w:hAnsi="Carlito" w:cs="Amiri" w:eastAsia="Amiri"/>
          <w:b/>
          <w:i w:val="0"/>
          <w:color w:val="13294B"/>
          <w:sz w:val="26"/>
        </w:rPr>
        <w:t>🔢 رقم الأسبوع</w:t>
      </w:r>
    </w:p>
    <w:tbl>
      <w:tblPr>
        <w:tblW w:type="auto" w:w="0"/>
        <w:jc w:val="center"/>
        <w:tblLook w:firstColumn="1" w:firstRow="1" w:lastColumn="0" w:lastRow="0" w:noHBand="0" w:noVBand="1" w:val="04A0"/>
      </w:tblPr>
      <w:tblGrid>
        <w:gridCol w:w="9936"/>
      </w:tblGrid>
      <w:tr>
        <w:tc>
          <w:tcPr>
            <w:tcW w:type="dxa" w:w="9936"/>
            <w:shd w:fill="FBF9F4"/>
            <w:tcMar>
              <w:top w:w="160" w:type="dxa"/>
              <w:bottom w:w="160" w:type="dxa"/>
              <w:left w:w="220" w:type="dxa"/>
              <w:right w:w="220" w:type="dxa"/>
            </w:tcMar>
            <w:tcBorders>
              <w:right w:val="single" w:sz="20" w:space="0" w:color="C9A227"/>
            </w:tcBorders>
          </w:tcPr>
          <w:p>
            <w:pPr>
              <w:bidi/>
            </w:pPr>
            <w:r>
              <w:rPr>
                <w:rFonts w:ascii="Carlito" w:hAnsi="Carlito" w:cs="Amiri" w:eastAsia="Amiri"/>
                <w:b/>
                <w:i w:val="0"/>
                <w:color w:val="13294B"/>
                <w:sz w:val="56"/>
              </w:rPr>
              <w:t>50%</w:t>
            </w:r>
          </w:p>
          <w:p>
            <w:pPr>
              <w:bidi/>
              <w:spacing w:before="120" w:line="312" w:lineRule="auto"/>
            </w:pPr>
            <w:r>
              <w:rPr>
                <w:rFonts w:ascii="Carlito" w:hAnsi="Carlito" w:cs="Amiri" w:eastAsia="Amiri"/>
                <w:b w:val="0"/>
                <w:i w:val="0"/>
                <w:color w:val="1C2430"/>
                <w:sz w:val="22"/>
              </w:rPr>
              <w:t>توقعت بعض الشركات أن الذكاء الاصطناعي سيؤدي إلى تقليل أسبوع العمل إلى أربعة أيام، مما يعزز الكفاءة.</w:t>
            </w:r>
          </w:p>
          <w:p>
            <w:pPr>
              <w:bidi/>
              <w:spacing w:before="120"/>
            </w:pPr>
            <w:r>
              <w:rPr>
                <w:rFonts w:ascii="Carlito" w:hAnsi="Carlito" w:cs="Amiri" w:eastAsia="Amiri"/>
                <w:b/>
                <w:i w:val="0"/>
                <w:color w:val="5B6472"/>
                <w:sz w:val="19"/>
              </w:rPr>
              <w:t xml:space="preserve">المصدر: </w:t>
            </w:r>
            <w:hyperlink r:id="rId10">
              <w:r>
                <w:rPr>
                  <w:rFonts w:ascii="Carlito" w:hAnsi="Carlito" w:cs="Amiri" w:eastAsia="Amiri"/>
                  <w:sz w:val="19"/>
                  <w:u w:val="single"/>
                  <w:color w:val="C9A227"/>
                </w:rPr>
                <w:t>SHRM</w:t>
              </w:r>
            </w:hyperlink>
          </w:p>
        </w:tc>
      </w:tr>
    </w:tbl>
    <w:p>
      <w:pPr>
        <w:spacing w:after="160"/>
      </w:pPr>
    </w:p>
    <w:p>
      <w:pPr>
        <w:bidi/>
      </w:pPr>
      <w:r>
        <w:rPr>
          <w:rFonts w:ascii="Carlito" w:hAnsi="Carlito" w:cs="Amiri" w:eastAsia="Amiri"/>
          <w:b/>
          <w:i w:val="0"/>
          <w:color w:val="13294B"/>
          <w:sz w:val="26"/>
        </w:rPr>
        <w:t>🆕 رادار المعايير والإصدارات الجديدة</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FFFFFF"/>
            <w:tcMar>
              <w:top w:w="140" w:type="dxa"/>
              <w:bottom w:w="140" w:type="dxa"/>
              <w:left w:w="200" w:type="dxa"/>
              <w:right w:w="200" w:type="dxa"/>
            </w:tcMar>
            <w:tcBorders>
              <w:right w:val="single" w:sz="20" w:space="0" w:color="8A6D1A"/>
            </w:tcBorders>
            <w:tcBorders>
              <w:top w:val="single" w:sz="4" w:space="0" w:color="D8D2C2"/>
              <w:bottom w:val="single" w:sz="4" w:space="0" w:color="D8D2C2"/>
              <w:left w:val="single" w:sz="4" w:space="0" w:color="D8D2C2"/>
            </w:tcBorders>
          </w:tcPr>
          <w:p>
            <w:pPr>
              <w:bidi/>
            </w:pPr>
            <w:r>
              <w:rPr>
                <w:rFonts w:ascii="Carlito" w:hAnsi="Carlito" w:cs="Amiri" w:eastAsia="Amiri"/>
                <w:b/>
                <w:i w:val="0"/>
                <w:color w:val="13294B"/>
                <w:sz w:val="25"/>
              </w:rPr>
              <w:t>IASB exposure drafts - IAS Plus</w:t>
            </w:r>
            <w:r>
              <w:rPr>
                <w:rFonts w:ascii="Carlito" w:hAnsi="Carlito" w:cs="Amiri" w:eastAsia="Amiri"/>
                <w:b/>
                <w:i w:val="0"/>
                <w:color w:val="8A6D1A"/>
                <w:sz w:val="19"/>
              </w:rPr>
              <w:t xml:space="preserve">  [International Accounting Standards Board | مسودة للتعليق]</w:t>
            </w:r>
          </w:p>
          <w:p>
            <w:pPr>
              <w:bidi/>
              <w:spacing w:before="60"/>
            </w:pPr>
            <w:r>
              <w:rPr>
                <w:rFonts w:ascii="Carlito" w:hAnsi="Carlito" w:cs="Amiri" w:eastAsia="Amiri"/>
                <w:b w:val="0"/>
                <w:i/>
                <w:color w:val="5B6472"/>
                <w:sz w:val="18"/>
              </w:rPr>
              <w:t>الإصدار: 3 December 2025  |  آخر أجل للتعليق: لم يتم ذكرها</w:t>
            </w:r>
          </w:p>
          <w:p>
            <w:pPr>
              <w:bidi/>
              <w:spacing w:before="120" w:line="312" w:lineRule="auto"/>
            </w:pPr>
            <w:r>
              <w:rPr>
                <w:rFonts w:ascii="Carlito" w:hAnsi="Carlito" w:cs="Amiri" w:eastAsia="Amiri"/>
                <w:b w:val="0"/>
                <w:i w:val="0"/>
                <w:color w:val="1C2430"/>
                <w:sz w:val="21"/>
              </w:rPr>
              <w:t>نشرت الهيئة الدولية للتقييس المحاسبي مسودة تعديلات على المعايير المحاسبية الدولية 9 و7.</w:t>
            </w:r>
          </w:p>
          <w:p>
            <w:pPr>
              <w:bidi/>
              <w:spacing w:before="80"/>
            </w:pPr>
            <w:r>
              <w:rPr>
                <w:rFonts w:ascii="Carlito" w:hAnsi="Carlito" w:cs="Amiri" w:eastAsia="Amiri"/>
                <w:b/>
                <w:i w:val="0"/>
                <w:color w:val="13294B"/>
                <w:sz w:val="20"/>
              </w:rPr>
              <w:t xml:space="preserve">لماذا يهمكم: </w:t>
            </w:r>
            <w:r>
              <w:rPr>
                <w:rFonts w:ascii="Carlito" w:hAnsi="Carlito" w:cs="Amiri" w:eastAsia="Amiri"/>
                <w:b w:val="0"/>
                <w:i w:val="0"/>
                <w:color w:val="1C2430"/>
                <w:sz w:val="20"/>
              </w:rPr>
              <w:t>تؤثر هذه التعديلات على كيفية معالجة المخاطر المالية في التقارير المالية.</w:t>
            </w:r>
          </w:p>
          <w:p>
            <w:pPr>
              <w:bidi/>
              <w:spacing w:before="160"/>
            </w:pPr>
            <w:r>
              <w:rPr>
                <w:rFonts w:ascii="Carlito" w:hAnsi="Carlito" w:cs="Amiri" w:eastAsia="Amiri"/>
                <w:b/>
                <w:i w:val="0"/>
                <w:color w:val="C9A227"/>
                <w:sz w:val="22"/>
              </w:rPr>
              <w:t xml:space="preserve">⬇ </w:t>
            </w:r>
            <w:hyperlink r:id="rId11">
              <w:r>
                <w:rPr>
                  <w:rFonts w:ascii="Carlito" w:hAnsi="Carlito" w:cs="Amiri" w:eastAsia="Amiri"/>
                  <w:sz w:val="22"/>
                  <w:b/>
                  <w:u w:val="single"/>
                  <w:color w:val="C9A227"/>
                </w:rPr>
                <w:t>تحميل / الاطلاع على IASB</w:t>
              </w:r>
            </w:hyperlink>
          </w:p>
        </w:tc>
      </w:tr>
    </w:tbl>
    <w:p>
      <w:pPr>
        <w:spacing w:after="120"/>
      </w:pPr>
    </w:p>
    <w:p>
      <w:pPr>
        <w:bidi/>
      </w:pPr>
      <w:r>
        <w:rPr>
          <w:rFonts w:ascii="Carlito" w:hAnsi="Carlito" w:cs="Amiri" w:eastAsia="Amiri"/>
          <w:b/>
          <w:i w:val="0"/>
          <w:color w:val="13294B"/>
          <w:sz w:val="26"/>
        </w:rPr>
        <w:t>✍️ ورشة الصياغة</w:t>
      </w:r>
    </w:p>
    <w:p>
      <w:pPr>
        <w:bidi/>
        <w:spacing w:after="80"/>
      </w:pPr>
      <w:r>
        <w:rPr>
          <w:rFonts w:ascii="Carlito" w:hAnsi="Carlito" w:cs="Amiri" w:eastAsia="Amiri"/>
          <w:b w:val="0"/>
          <w:i/>
          <w:color w:val="5B6472"/>
          <w:sz w:val="20"/>
        </w:rPr>
        <w:t>هذا الأسبوع: الجداول التحليلية والرسوم البيانية</w:t>
      </w:r>
    </w:p>
    <w:tbl>
      <w:tblPr>
        <w:tblW w:type="auto" w:w="0"/>
        <w:jc w:val="center"/>
        <w:tblLook w:firstColumn="1" w:firstRow="1" w:lastColumn="0" w:lastRow="0" w:noHBand="0" w:noVBand="1" w:val="04A0"/>
      </w:tblPr>
      <w:tblGrid>
        <w:gridCol w:w="9936"/>
      </w:tblGrid>
      <w:tr>
        <w:tc>
          <w:tcPr>
            <w:tcW w:type="dxa" w:w="9936"/>
            <w:shd w:fill="FBF9F4"/>
            <w:tcMar>
              <w:top w:w="140" w:type="dxa"/>
              <w:bottom w:w="140" w:type="dxa"/>
              <w:left w:w="200" w:type="dxa"/>
              <w:right w:w="200" w:type="dxa"/>
            </w:tcMar>
            <w:tcBorders>
              <w:right w:val="single" w:sz="20" w:space="0" w:color="C9A227"/>
            </w:tcBorders>
          </w:tcPr>
          <w:p>
            <w:pPr>
              <w:bidi/>
              <w:spacing w:line="312" w:lineRule="auto"/>
            </w:pPr>
            <w:r>
              <w:rPr>
                <w:rFonts w:ascii="Carlito" w:hAnsi="Carlito" w:cs="Amiri" w:eastAsia="Amiri"/>
                <w:b w:val="0"/>
                <w:i w:val="0"/>
                <w:color w:val="1C2430"/>
                <w:sz w:val="21"/>
              </w:rPr>
              <w:t>استخدم لونًا واحدًا بمعنى ثابت عبر كل التقرير (أحمر = حرج دومًا، لا أحيانًا يعني "سيء" وأحيانًا أخرى مجرد لون تصميم عشوائي)، ولا تكتفِ بعرض الرقم أو الرسم دون جملة تفسيرية أسفله تشرح ماذا يعني عمليًا لمن لا وقت لديه لتحليله بنفسه.</w:t>
            </w:r>
          </w:p>
          <w:p>
            <w:pPr>
              <w:bidi/>
              <w:spacing w:before="160"/>
            </w:pPr>
            <w:r>
              <w:rPr>
                <w:rFonts w:ascii="Carlito" w:hAnsi="Carlito" w:cs="Amiri" w:eastAsia="Amiri"/>
                <w:b/>
                <w:i w:val="0"/>
                <w:color w:val="8C1D1D"/>
                <w:sz w:val="20"/>
              </w:rPr>
              <w:t xml:space="preserve">❌ صياغة ضعيفة: </w:t>
            </w:r>
            <w:r>
              <w:rPr>
                <w:rFonts w:ascii="Carlito" w:hAnsi="Carlito" w:cs="Amiri" w:eastAsia="Amiri"/>
                <w:b w:val="0"/>
                <w:i/>
                <w:color w:val="5B6472"/>
                <w:sz w:val="20"/>
              </w:rPr>
              <w:t>[جدول بثلاثة أعمدة ملونة بألوان مختلفة عشوائيًا بلا مفتاح تفسيري (Legend) واضح، بلا أي جملة تفسير أسفله]</w:t>
            </w:r>
          </w:p>
          <w:p>
            <w:pPr>
              <w:bidi/>
              <w:spacing w:before="120"/>
            </w:pPr>
            <w:r>
              <w:rPr>
                <w:rFonts w:ascii="Carlito" w:hAnsi="Carlito" w:cs="Amiri" w:eastAsia="Amiri"/>
                <w:b/>
                <w:i w:val="0"/>
                <w:color w:val="1E6B3E"/>
                <w:sz w:val="20"/>
              </w:rPr>
              <w:t xml:space="preserve">✅ صياغة قوية: </w:t>
            </w:r>
            <w:r>
              <w:rPr>
                <w:rFonts w:ascii="Carlito" w:hAnsi="Carlito" w:cs="Amiri" w:eastAsia="Amiri"/>
                <w:b w:val="0"/>
                <w:i w:val="0"/>
                <w:color w:val="1C2430"/>
                <w:sz w:val="20"/>
              </w:rPr>
              <w:t>[نفس الجدول، لكن بمفتاح تفسيري واضح أعلاه (أحمر=حرج، برتقالي=عالٍ، أصفر=متوسط، أخضر=منخفض — ثابت في كل التقرير)، وتحته جملة: "يتركز 60% من الملاحظات ذات المخاطرة الحرجة في قسم واحد فقط (المشتريات)، ما يستدعي أولوية فورية له تحديدًا"]</w:t>
            </w:r>
          </w:p>
          <w:p>
            <w:pPr>
              <w:bidi/>
              <w:spacing w:before="120"/>
            </w:pPr>
            <w:r>
              <w:rPr>
                <w:rFonts w:ascii="Carlito" w:hAnsi="Carlito" w:cs="Amiri" w:eastAsia="Amiri"/>
                <w:b/>
                <w:i w:val="0"/>
                <w:color w:val="13294B"/>
                <w:sz w:val="19"/>
              </w:rPr>
              <w:t xml:space="preserve">لماذا الفرق مهم: </w:t>
            </w:r>
            <w:r>
              <w:rPr>
                <w:rFonts w:ascii="Carlito" w:hAnsi="Carlito" w:cs="Amiri" w:eastAsia="Amiri"/>
                <w:b w:val="0"/>
                <w:i w:val="0"/>
                <w:color w:val="1C2430"/>
                <w:sz w:val="19"/>
              </w:rPr>
              <w:t>جدول بلا مفتاح تفسيري ثابت يجبر القارئ على تخمين معنى كل لون في كل مرة، وقد يُسيء تفسيره. الجملة التفسيرية أسفل أي رسم تحوّله من "بيانات خام يفسّرها القارئ بنفسه وقد يخطئ" إلى "رسالة واضحة موصّلة عمدًا من الكاتب".</w:t>
            </w:r>
          </w:p>
        </w:tc>
      </w:tr>
    </w:tbl>
    <w:p>
      <w:pPr>
        <w:spacing w:after="160"/>
      </w:pPr>
    </w:p>
    <w:p>
      <w:pPr>
        <w:bidi/>
      </w:pPr>
      <w:r>
        <w:rPr>
          <w:rFonts w:ascii="Carlito" w:hAnsi="Carlito" w:cs="Amiri" w:eastAsia="Amiri"/>
          <w:b/>
          <w:i w:val="0"/>
          <w:color w:val="13294B"/>
          <w:sz w:val="26"/>
        </w:rPr>
        <w:t>🧠 ومضة إدارية — المحاسبة التحليلية وحساب التكاليف (Cost / Analytical Accounting)</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top w:val="single" w:sz="4" w:space="0" w:color="D8D2C2"/>
              <w:bottom w:val="single" w:sz="4" w:space="0" w:color="D8D2C2"/>
              <w:left w:val="single" w:sz="4" w:space="0" w:color="D8D2C2"/>
              <w:right w:val="single" w:sz="4" w:space="0" w:color="D8D2C2"/>
            </w:tcBorders>
          </w:tcPr>
          <w:p>
            <w:pPr>
              <w:bidi/>
              <w:spacing w:line="312" w:lineRule="auto"/>
            </w:pPr>
            <w:r>
              <w:rPr>
                <w:rFonts w:ascii="Carlito" w:hAnsi="Carlito" w:cs="Amiri" w:eastAsia="Amiri"/>
                <w:b w:val="0"/>
                <w:i w:val="0"/>
                <w:color w:val="1C2430"/>
                <w:sz w:val="22"/>
              </w:rPr>
              <w:t>بخلاف المحاسبة المالية (التي تُعِدّ تقارير لأطراف خارجية كالجهات الرقابية والمانحين)، تخدم المحاسبة التحليلية قرارًا داخليًا واحدًا محددًا: كم يكلفنا فعلاً إنتاج هذا المنتج أو تقديم هذه الخدمة أو تشغيل هذا القسم؟</w:t>
            </w:r>
          </w:p>
          <w:p>
            <w:pPr>
              <w:bidi/>
              <w:spacing w:line="312" w:lineRule="auto" w:before="120"/>
            </w:pPr>
            <w:r>
              <w:rPr>
                <w:rFonts w:ascii="Carlito" w:hAnsi="Carlito" w:cs="Amiri" w:eastAsia="Amiri"/>
                <w:b w:val="0"/>
                <w:i w:val="0"/>
                <w:color w:val="1C2430"/>
                <w:sz w:val="22"/>
              </w:rPr>
              <w:t>الخطوة الأولى دومًا هي التمييز بين نوعين من التكاليف: المباشرة (Direct Costs) التي يمكن ربطها بمنتج/خدمة معينة بلا لبس (المواد الخام لمنتج بعينه)، وغير المباشرة (Indirect Costs / Overheads) المشتركة بين عدة منتجات أو خدمات (إيجار المبنى، راتب مدير القسم) والتي تحتاج "توزيعًا" على مراكز التكلفة (Cost Centers) بمفتاح توزيع منطقي (مساحة، عدد موظفين، ساعات عمل).</w:t>
            </w:r>
          </w:p>
          <w:p>
            <w:pPr>
              <w:bidi/>
              <w:spacing w:line="312" w:lineRule="auto" w:before="120"/>
            </w:pPr>
            <w:r>
              <w:rPr>
                <w:rFonts w:ascii="Carlito" w:hAnsi="Carlito" w:cs="Amiri" w:eastAsia="Amiri"/>
                <w:b w:val="0"/>
                <w:i w:val="0"/>
                <w:color w:val="1C2430"/>
                <w:sz w:val="22"/>
              </w:rPr>
              <w:t>مثال: مستشفى حكومي يريد معرفة تكلفة "عملية جراحية واحدة" فعليًا، لا فقط تكلفة القسم الجراحي كاملاً. التكاليف المباشرة واضحة (أدوية، خيوط جراحية مستخدمة). لكن كيف توزّع تكلفة الكهرباء والتعقيم المركزي وراتب مدير المستشفى على كل عملية بمفردها؟ هنا يحتاج المحاسب التحليلي مفتاح توزيع (مثلاً: عدد ساعات استخدام غرفة العمليات) — وهذا القرار وحده يمكن أن يغيّر "تكلفة العملية المحسوبة" بشكل كبير حسب المفتاح المُختار.</w:t>
            </w:r>
          </w:p>
          <w:p>
            <w:pPr>
              <w:bidi/>
              <w:spacing w:line="312" w:lineRule="auto" w:before="120"/>
            </w:pPr>
            <w:r>
              <w:rPr>
                <w:rFonts w:ascii="Carlito" w:hAnsi="Carlito" w:cs="Amiri" w:eastAsia="Amiri"/>
                <w:b w:val="0"/>
                <w:i w:val="0"/>
                <w:color w:val="1C2430"/>
                <w:sz w:val="22"/>
              </w:rPr>
              <w:t>هذه الأداة أساسية لتسعير الخدمات، وتقييم جدوى إلغاء أو توسيع برنامج، واكتشاف أنشطة تستنزف موارد أكثر مما تستحق دون أن يلاحظ أحد ذلك من القوائم المالية العامة وحدها.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قبل أي تحليل تكلفة، حدد مراكز التكلفة بوضوح أولاً — الخطأ الأشيع هو توزيع تكاليف غير مباشرة قبل تحديد الوحدات التي ستستقبلها</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اسأل دومًا: ما مفتاح التوزيع المستخدم؟ فمفتاح مختلف قد يعطي "تكلفة" مختلفة تمامًا لنفس المنتج</w:t>
            </w:r>
          </w:p>
          <w:p>
            <w:pPr>
              <w:bidi/>
              <w:spacing w:before="80"/>
            </w:pPr>
            <w:r>
              <w:rPr>
                <w:rFonts w:ascii="Carlito" w:hAnsi="Carlito" w:cs="Amiri" w:eastAsia="Amiri"/>
                <w:b/>
                <w:i w:val="0"/>
                <w:color w:val="C9A227"/>
                <w:sz w:val="21"/>
              </w:rPr>
              <w:t xml:space="preserve">— </w:t>
            </w:r>
            <w:r>
              <w:rPr>
                <w:rFonts w:ascii="Carlito" w:hAnsi="Carlito" w:cs="Amiri" w:eastAsia="Amiri"/>
                <w:b w:val="0"/>
                <w:i w:val="0"/>
                <w:color w:val="5B6472"/>
                <w:sz w:val="21"/>
              </w:rPr>
              <w:t>قارن التكلفة الفعلية بتكلفة معيارية (Standard Cost) متوقَّعة لاكتشاف الانحرافات مبكرًا لا بعد فوات الأوان</w:t>
            </w:r>
          </w:p>
        </w:tc>
      </w:tr>
    </w:tbl>
    <w:p>
      <w:pPr>
        <w:spacing w:after="160"/>
      </w:pPr>
    </w:p>
    <w:p>
      <w:pPr>
        <w:bidi/>
      </w:pPr>
      <w:r>
        <w:rPr>
          <w:rFonts w:ascii="Carlito" w:hAnsi="Carlito" w:cs="Amiri" w:eastAsia="Amiri"/>
          <w:b/>
          <w:i w:val="0"/>
          <w:color w:val="13294B"/>
          <w:sz w:val="26"/>
        </w:rPr>
        <w:t>📖 مصطلح الأسبوع</w:t>
      </w:r>
    </w:p>
    <w:tbl>
      <w:tblPr>
        <w:tblW w:type="auto" w:w="0"/>
        <w:jc w:val="center"/>
        <w:tblLook w:firstColumn="1" w:firstRow="1" w:lastColumn="0" w:lastRow="0" w:noHBand="0" w:noVBand="1" w:val="04A0"/>
      </w:tblPr>
      <w:tblGrid>
        <w:gridCol w:w="9936"/>
      </w:tblGrid>
      <w:tr>
        <w:tc>
          <w:tcPr>
            <w:tcW w:type="dxa" w:w="9936"/>
            <w:shd w:fill="13294B"/>
            <w:tcMar>
              <w:top w:w="120" w:type="dxa"/>
              <w:bottom w:w="120" w:type="dxa"/>
              <w:left w:w="200" w:type="dxa"/>
              <w:right w:w="200" w:type="dxa"/>
            </w:tcMar>
          </w:tcPr>
          <w:p>
            <w:pPr>
              <w:bidi/>
            </w:pPr>
            <w:r>
              <w:rPr>
                <w:rFonts w:ascii="Carlito" w:hAnsi="Carlito" w:cs="Amiri" w:eastAsia="Amiri"/>
                <w:b/>
                <w:i w:val="0"/>
                <w:color w:val="FFFFFF"/>
                <w:sz w:val="26"/>
              </w:rPr>
              <w:t xml:space="preserve">حوكمة الشركات  </w:t>
            </w:r>
            <w:r>
              <w:rPr>
                <w:rFonts w:ascii="Carlito" w:hAnsi="Carlito" w:cs="Amiri" w:eastAsia="Amiri"/>
                <w:b w:val="0"/>
                <w:i/>
                <w:color w:val="E8D9A0"/>
                <w:sz w:val="22"/>
              </w:rPr>
              <w:t>(Corporate Governance)</w:t>
            </w:r>
          </w:p>
          <w:p>
            <w:pPr>
              <w:bidi/>
              <w:spacing w:before="120" w:line="312" w:lineRule="auto"/>
            </w:pPr>
            <w:r>
              <w:rPr>
                <w:rFonts w:ascii="Carlito" w:hAnsi="Carlito" w:cs="Amiri" w:eastAsia="Amiri"/>
                <w:b w:val="0"/>
                <w:i w:val="0"/>
                <w:color w:val="FFFFFF"/>
                <w:sz w:val="21"/>
              </w:rPr>
              <w:t>نظام العلاقات والقواعد والممارسات التي تُدار بها المؤسسة وتُراقَب من خلاله، بما يوازن بين مصالح الإدارة التنفيذية والمساهمين وأصحاب المصلحة الأوسع.</w:t>
            </w:r>
          </w:p>
          <w:p>
            <w:pPr>
              <w:bidi/>
              <w:spacing w:before="120"/>
            </w:pPr>
            <w:r>
              <w:rPr>
                <w:rFonts w:ascii="Carlito" w:hAnsi="Carlito" w:cs="Amiri" w:eastAsia="Amiri"/>
                <w:b/>
                <w:i w:val="0"/>
                <w:color w:val="E8D9A0"/>
                <w:sz w:val="19"/>
              </w:rPr>
              <w:t xml:space="preserve">في الممارسة: </w:t>
            </w:r>
            <w:r>
              <w:rPr>
                <w:rFonts w:ascii="Carlito" w:hAnsi="Carlito" w:cs="Amiri" w:eastAsia="Amiri"/>
                <w:b w:val="0"/>
                <w:i/>
                <w:color w:val="E8D9A0"/>
                <w:sz w:val="19"/>
              </w:rPr>
              <w:t>حوكمة قوية ومفصّلة على الورق (سياسات، لجان، مواثيق) دون تطبيق فعلي ملموس في اجتماعات المجلس اليومية الفعلية هي حوكمة شكلية لا حوكمة حقيقية.</w:t>
            </w:r>
          </w:p>
        </w:tc>
      </w:tr>
    </w:tbl>
    <w:p>
      <w:pPr>
        <w:spacing w:after="160"/>
      </w:pPr>
    </w:p>
    <w:p>
      <w:pPr>
        <w:bidi/>
      </w:pPr>
      <w:r>
        <w:rPr>
          <w:rFonts w:ascii="Carlito" w:hAnsi="Carlito" w:cs="Amiri" w:eastAsia="Amiri"/>
          <w:b/>
          <w:i w:val="0"/>
          <w:color w:val="13294B"/>
          <w:sz w:val="26"/>
        </w:rPr>
        <w:t>📌 أبرز التطورات حسب المجال</w:t>
      </w:r>
    </w:p>
    <w:p>
      <w:pPr>
        <w:spacing w:before="40" w:after="160"/>
        <w:pBdr>
          <w:bottom w:val="single" w:sz="8" w:space="1" w:color="C9A227"/>
        </w:pBdr>
      </w:pPr>
    </w:p>
    <w:tbl>
      <w:tblPr>
        <w:tblW w:type="auto" w:w="0"/>
        <w:jc w:val="center"/>
        <w:tblLook w:firstColumn="1" w:firstRow="1" w:lastColumn="0" w:lastRow="0" w:noHBand="0" w:noVBand="1" w:val="04A0"/>
      </w:tblPr>
      <w:tblGrid>
        <w:gridCol w:w="9936"/>
      </w:tblGrid>
      <w:tr>
        <w:tc>
          <w:tcPr>
            <w:tcW w:type="dxa" w:w="9936"/>
            <w:shd w:fill="13294B"/>
            <w:tcMar>
              <w:top w:w="130" w:type="dxa"/>
              <w:bottom w:w="130" w:type="dxa"/>
              <w:left w:w="200" w:type="dxa"/>
              <w:right w:w="200" w:type="dxa"/>
            </w:tcMar>
          </w:tcPr>
          <w:p>
            <w:pPr>
              <w:jc w:val="right"/>
              <w:bidi/>
            </w:pPr>
            <w:r>
              <w:rPr>
                <w:rFonts w:ascii="Carlito" w:hAnsi="Carlito" w:cs="Amiri" w:eastAsia="Amiri"/>
                <w:b/>
                <w:i w:val="0"/>
                <w:color w:val="FFFFFF"/>
                <w:sz w:val="27"/>
              </w:rPr>
              <w:t xml:space="preserve">🆕 التدقيق الداخلي  </w:t>
            </w:r>
            <w:r>
              <w:rPr>
                <w:rFonts w:ascii="Carlito" w:hAnsi="Carlito" w:cs="Amiri" w:eastAsia="Amiri"/>
                <w:b/>
                <w:i w:val="0"/>
                <w:color w:val="E8D9A0"/>
                <w:sz w:val="20"/>
              </w:rPr>
              <w:t xml:space="preserve"> 🟠 [تقرير | عالٍ]</w:t>
            </w:r>
          </w:p>
          <w:p>
            <w:pPr>
              <w:spacing w:before="40"/>
              <w:jc w:val="right"/>
              <w:bidi/>
            </w:pPr>
            <w:r>
              <w:rPr>
                <w:rFonts w:ascii="Carlito" w:hAnsi="Carlito" w:cs="Amiri" w:eastAsia="Amiri"/>
                <w:b w:val="0"/>
                <w:i/>
                <w:color w:val="E8D9A0"/>
                <w:sz w:val="17"/>
              </w:rPr>
              <w:t>🎓 المهارة المكتسبة: تحليل تقارير COSO</w:t>
            </w:r>
          </w:p>
        </w:tc>
      </w:tr>
    </w:tbl>
    <w:p>
      <w:pPr>
        <w:bidi/>
        <w:spacing w:before="80"/>
      </w:pPr>
      <w:r>
        <w:rPr>
          <w:rFonts w:ascii="Carlito" w:hAnsi="Carlito" w:cs="Amiri" w:eastAsia="Amiri"/>
          <w:b/>
          <w:i w:val="0"/>
          <w:color w:val="13294B"/>
          <w:sz w:val="24"/>
        </w:rPr>
        <w:t>The Role of Internal Audit in Risk Management</w:t>
      </w:r>
    </w:p>
    <w:p>
      <w:pPr>
        <w:bidi/>
        <w:spacing w:line="312" w:lineRule="auto" w:after="120"/>
      </w:pPr>
      <w:r>
        <w:rPr>
          <w:rFonts w:ascii="Carlito" w:hAnsi="Carlito" w:cs="Amiri" w:eastAsia="Amiri"/>
          <w:b w:val="0"/>
          <w:i w:val="0"/>
          <w:color w:val="1C2430"/>
          <w:sz w:val="22"/>
        </w:rPr>
        <w:t>تناول التقرير دور التدقيق الداخلي في إدارة المخاطر وتحسين الكفاءة.</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180" w:type="dxa"/>
              <w:right w:w="180" w:type="dxa"/>
            </w:tcMar>
            <w:tcBorders>
              <w:right w:val="single" w:sz="20" w:space="0" w:color="B5541A"/>
            </w:tcBorders>
          </w:tcPr>
          <w:p>
            <w:pPr>
              <w:bidi/>
            </w:pPr>
            <w:r>
              <w:rPr>
                <w:rFonts w:ascii="Carlito" w:hAnsi="Carlito" w:cs="Amiri" w:eastAsia="Amiri"/>
                <w:b/>
                <w:i w:val="0"/>
                <w:color w:val="13294B"/>
                <w:sz w:val="21"/>
              </w:rPr>
              <w:t xml:space="preserve">الأثر: </w:t>
            </w:r>
            <w:r>
              <w:rPr>
                <w:rFonts w:ascii="Carlito" w:hAnsi="Carlito" w:cs="Amiri" w:eastAsia="Amiri"/>
                <w:b w:val="0"/>
                <w:i w:val="0"/>
                <w:color w:val="1C2430"/>
                <w:sz w:val="21"/>
              </w:rPr>
              <w:t>يبرز التقرير أهمية التدقيق الداخلي في تحسين إدارة المخاطر وتقليل المخاطر المالية.</w:t>
            </w:r>
          </w:p>
          <w:p>
            <w:pPr>
              <w:bidi/>
              <w:spacing w:before="80"/>
            </w:pPr>
            <w:r>
              <w:rPr>
                <w:rFonts w:ascii="Carlito" w:hAnsi="Carlito" w:cs="Amiri" w:eastAsia="Amiri"/>
                <w:b/>
                <w:i w:val="0"/>
                <w:color w:val="13294B"/>
                <w:sz w:val="21"/>
              </w:rPr>
              <w:t xml:space="preserve">ماذا تفعل بهذا الآن: </w:t>
            </w:r>
            <w:r>
              <w:rPr>
                <w:rFonts w:ascii="Carlito" w:hAnsi="Carlito" w:cs="Amiri" w:eastAsia="Amiri"/>
                <w:b w:val="0"/>
                <w:i w:val="0"/>
                <w:color w:val="1C2430"/>
                <w:sz w:val="21"/>
              </w:rPr>
              <w:t>قراءة التقرير وتطبيقه في أعمال التدقيق.</w:t>
            </w:r>
          </w:p>
          <w:p>
            <w:pPr>
              <w:bidi/>
              <w:spacing w:before="80"/>
            </w:pPr>
            <w:r>
              <w:rPr>
                <w:rFonts w:ascii="Carlito" w:hAnsi="Carlito" w:cs="Amiri" w:eastAsia="Amiri"/>
                <w:b/>
                <w:i w:val="0"/>
                <w:color w:val="5B6472"/>
                <w:sz w:val="19"/>
              </w:rPr>
              <w:t xml:space="preserve">المصدر: </w:t>
            </w:r>
            <w:hyperlink r:id="rId12">
              <w:r>
                <w:rPr>
                  <w:rFonts w:ascii="Carlito" w:hAnsi="Carlito" w:cs="Amiri" w:eastAsia="Amiri"/>
                  <w:sz w:val="19"/>
                  <w:u w:val="single"/>
                  <w:color w:val="C9A227"/>
                </w:rPr>
                <w:t>International Conference on Interdisciplinary Science</w:t>
              </w:r>
            </w:hyperlink>
          </w:p>
        </w:tc>
      </w:tr>
    </w:tbl>
    <w:p>
      <w:pPr>
        <w:spacing w:after="200"/>
      </w:pPr>
    </w:p>
    <w:p>
      <w:pPr>
        <w:bidi/>
      </w:pPr>
      <w:r>
        <w:rPr>
          <w:rFonts w:ascii="Carlito" w:hAnsi="Carlito" w:cs="Amiri" w:eastAsia="Amiri"/>
          <w:b/>
          <w:i w:val="0"/>
          <w:color w:val="13294B"/>
          <w:sz w:val="26"/>
        </w:rPr>
        <w:t>🧭 مقترحات لمهام تدقيق</w:t>
      </w:r>
    </w:p>
    <w:p>
      <w:pPr>
        <w:bidi/>
        <w:spacing w:after="120"/>
      </w:pPr>
      <w:r>
        <w:rPr>
          <w:rFonts w:ascii="Carlito" w:hAnsi="Carlito" w:cs="Amiri" w:eastAsia="Amiri"/>
          <w:b w:val="0"/>
          <w:i/>
          <w:color w:val="5B6472"/>
          <w:sz w:val="19"/>
        </w:rPr>
        <w:t>أفكار جاهزة لخطة عملكم القادمة — عناصر أساسية، لا مجرد عناوين</w:t>
      </w: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تكامل نظام تخطيط موارد المؤسسة (ERP) مع العمليات الفعلية على الأرض</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التأكد من أن النظام المُطبَّق يعكس فعليًا كيف يعمل الناس، لا أن الناس يلتفّون حوله بحلول يدوية موازية (Shadow Systems) لأنه لا يخدم احتياجهم الفعلي.</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توجد جداول بيانات (Excel) أو أنظمة موازية غير رسمية يستخدمها الموظفون فعليًا بدل الاعتماد الكامل على النظام الرسمي؟ ولماذا؟</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كم من سير العمل الفعلي (Workflow) يمر فعلاً عبر النظام بالكامل من البداية للنهاية دون أي خطوة يدوية خارجه؟</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صلاحيات الوصول في النظام تعكس فعليًا الهيكل التنظيمي الحالي، أم أنها متراكمة من صلاحيات قديمة لم تُراجَع؟</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ما مستوى رضا المستخدمين الفعليين للنظام، وما أكثر شكوى متكررة تصل لقسم الدعم التقني؟</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أقسام كاملة تعتمد بشكل أساسي على جداول Excel موازية لمهام يُفترض أن يؤديها النظام الرسمي المُكلِّف، أو صلاحيات وصول واسعة جدًا مُبرَّرة بـ"هكذا اعتدنا" بلا مراجعة حديثة موثقة.</w:t>
            </w:r>
          </w:p>
        </w:tc>
      </w:tr>
    </w:tbl>
    <w:p>
      <w:pPr>
        <w:spacing w:after="120"/>
      </w:pPr>
    </w:p>
    <w:tbl>
      <w:tblPr>
        <w:tblW w:type="auto" w:w="0"/>
        <w:jc w:val="center"/>
        <w:tblLook w:firstColumn="1" w:firstRow="1" w:lastColumn="0" w:lastRow="0" w:noHBand="0" w:noVBand="1" w:val="04A0"/>
      </w:tblPr>
      <w:tblGrid>
        <w:gridCol w:w="9936"/>
      </w:tblGrid>
      <w:tr>
        <w:tc>
          <w:tcPr>
            <w:tcW w:type="dxa" w:w="9936"/>
            <w:shd w:fill="FFFFFF"/>
            <w:tcMar>
              <w:top w:w="130" w:type="dxa"/>
              <w:bottom w:w="130" w:type="dxa"/>
              <w:left w:w="200" w:type="dxa"/>
              <w:right w:w="200" w:type="dxa"/>
            </w:tcMar>
            <w:tcBorders>
              <w:right w:val="single" w:sz="20" w:space="0" w:color="13294B"/>
            </w:tcBorders>
          </w:tcPr>
          <w:p>
            <w:pPr>
              <w:bidi/>
            </w:pPr>
            <w:r>
              <w:rPr>
                <w:rFonts w:ascii="Carlito" w:hAnsi="Carlito" w:cs="Amiri" w:eastAsia="Amiri"/>
                <w:b/>
                <w:i w:val="0"/>
                <w:color w:val="13294B"/>
                <w:sz w:val="24"/>
              </w:rPr>
              <w:t>تدقيق فعالية آليات تفويض الصلاحيات المالية والإدارية</w:t>
            </w:r>
          </w:p>
          <w:p>
            <w:pPr>
              <w:bidi/>
              <w:spacing w:before="80"/>
            </w:pPr>
            <w:r>
              <w:rPr>
                <w:rFonts w:ascii="Carlito" w:hAnsi="Carlito" w:cs="Amiri" w:eastAsia="Amiri"/>
                <w:b/>
                <w:i w:val="0"/>
                <w:color w:val="13294B"/>
                <w:sz w:val="20"/>
              </w:rPr>
              <w:t xml:space="preserve">الهدف: </w:t>
            </w:r>
            <w:r>
              <w:rPr>
                <w:rFonts w:ascii="Carlito" w:hAnsi="Carlito" w:cs="Amiri" w:eastAsia="Amiri"/>
                <w:b w:val="0"/>
                <w:i w:val="0"/>
                <w:color w:val="1C2430"/>
                <w:sz w:val="20"/>
              </w:rPr>
              <w:t>التحقق من أن جدول تفويض الصلاحيات (Delegation of Authority Matrix) مُطبَّق فعليًا كما هو موثق، لا كوثيقة أرشيفية لا يرجع لها أحد عمليًا.</w:t>
            </w:r>
          </w:p>
          <w:p>
            <w:pPr>
              <w:bidi/>
              <w:spacing w:before="80"/>
            </w:pPr>
            <w:r>
              <w:rPr>
                <w:rFonts w:ascii="Carlito" w:hAnsi="Carlito" w:cs="Amiri" w:eastAsia="Amiri"/>
                <w:b/>
                <w:i w:val="0"/>
                <w:color w:val="13294B"/>
                <w:sz w:val="20"/>
              </w:rPr>
              <w:t>أسئلة النطاق الرئيسية: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جدول تفويض الصلاحيات محدَّث فعلاً بآخر تغييرات الهيكل التنظيمي، أم يحمل مسميات وظيفية قديمة؟</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عند فحص عينة من المعاملات المالية الكبرى، هل الموافقات الفعلية مطابقة تمامًا لما ينص عليه الجدول من حيث المستوى والحد الأقصى؟</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كيف تُدار حالات تفويض مؤقت (غياب صاحب الصلاحية الأصلي بإجازة مثلاً) — هل بآلية موثقة أم بترتيب غير رسمي؟</w:t>
            </w:r>
          </w:p>
          <w:p>
            <w:pPr>
              <w:bidi/>
              <w:spacing w:before="40"/>
            </w:pPr>
            <w:r>
              <w:rPr>
                <w:rFonts w:ascii="Carlito" w:hAnsi="Carlito" w:cs="Amiri" w:eastAsia="Amiri"/>
                <w:b/>
                <w:i w:val="0"/>
                <w:color w:val="C9A227"/>
                <w:sz w:val="20"/>
              </w:rPr>
              <w:t xml:space="preserve">• </w:t>
            </w:r>
            <w:r>
              <w:rPr>
                <w:rFonts w:ascii="Carlito" w:hAnsi="Carlito" w:cs="Amiri" w:eastAsia="Amiri"/>
                <w:b w:val="0"/>
                <w:i w:val="0"/>
                <w:color w:val="1C2430"/>
                <w:sz w:val="20"/>
              </w:rPr>
              <w:t>هل توجد حالات موافقات "بأثر رجعي" (تُوثَّق بعد تنفيذ المعاملة فعليًا لا قبلها)؟ وكم مرة تكررت؟</w:t>
            </w:r>
          </w:p>
          <w:p>
            <w:pPr>
              <w:bidi/>
              <w:spacing w:before="100"/>
            </w:pPr>
            <w:r>
              <w:rPr>
                <w:rFonts w:ascii="Carlito" w:hAnsi="Carlito" w:cs="Amiri" w:eastAsia="Amiri"/>
                <w:b/>
                <w:i w:val="0"/>
                <w:color w:val="B5541A"/>
                <w:sz w:val="19"/>
              </w:rPr>
              <w:t xml:space="preserve">🚩 مؤشرات إنذار: </w:t>
            </w:r>
            <w:r>
              <w:rPr>
                <w:rFonts w:ascii="Carlito" w:hAnsi="Carlito" w:cs="Amiri" w:eastAsia="Amiri"/>
                <w:b w:val="0"/>
                <w:i/>
                <w:color w:val="5B6472"/>
                <w:sz w:val="19"/>
              </w:rPr>
              <w:t>موافقات متكررة موثقة بتاريخ لاحق لتاريخ تنفيذ المعاملة الفعلي (موافقة بأثر رجعي)، أو حد صلاحية يبدو دومًا "يكاد لا يُتجاوَز" بمبالغ أقل بقليل من الحد المسموح بشكل متكرر ومريب.</w:t>
            </w:r>
          </w:p>
        </w:tc>
      </w:tr>
    </w:tbl>
    <w:p>
      <w:pPr>
        <w:spacing w:after="120"/>
      </w:pPr>
    </w:p>
    <w:p>
      <w:pPr>
        <w:bidi/>
      </w:pPr>
      <w:r>
        <w:rPr>
          <w:rFonts w:ascii="Carlito" w:hAnsi="Carlito" w:cs="Amiri" w:eastAsia="Amiri"/>
          <w:b/>
          <w:i w:val="0"/>
          <w:color w:val="13294B"/>
          <w:sz w:val="26"/>
        </w:rPr>
        <w:t>🌱 مسار الاحتراف — كيف يفكّر الكبار</w:t>
      </w:r>
    </w:p>
    <w:tbl>
      <w:tblPr>
        <w:tblW w:type="auto" w:w="0"/>
        <w:jc w:val="center"/>
        <w:tblLook w:firstColumn="1" w:firstRow="1" w:lastColumn="0" w:lastRow="0" w:noHBand="0" w:noVBand="1" w:val="04A0"/>
      </w:tblPr>
      <w:tblGrid>
        <w:gridCol w:w="9936"/>
      </w:tblGrid>
      <w:tr>
        <w:tc>
          <w:tcPr>
            <w:tcW w:type="dxa" w:w="9936"/>
            <w:shd w:fill="FFFFFF"/>
            <w:tcMar>
              <w:top w:w="120" w:type="dxa"/>
              <w:bottom w:w="120" w:type="dxa"/>
              <w:left w:w="200" w:type="dxa"/>
              <w:right w:w="200" w:type="dxa"/>
            </w:tcMar>
            <w:tcBorders>
              <w:right w:val="single" w:sz="20" w:space="0" w:color="13294B"/>
            </w:tcBorders>
            <w:tcBorders>
              <w:top w:val="single" w:sz="4" w:space="0" w:color="D8D2C2"/>
              <w:bottom w:val="single" w:sz="4" w:space="0" w:color="D8D2C2"/>
              <w:left w:val="single" w:sz="4" w:space="0" w:color="D8D2C2"/>
            </w:tcBorders>
          </w:tcPr>
          <w:p>
            <w:pPr>
              <w:bidi/>
              <w:spacing w:line="312" w:lineRule="auto"/>
            </w:pPr>
            <w:r>
              <w:rPr>
                <w:rFonts w:ascii="Carlito" w:hAnsi="Carlito" w:cs="Amiri" w:eastAsia="Amiri"/>
                <w:b w:val="0"/>
                <w:i w:val="0"/>
                <w:color w:val="1C2430"/>
                <w:sz w:val="22"/>
              </w:rPr>
              <w:t>سرد البيانات كقصة (Data Storytelling) لا كأرقام معزولة هو ما يجعل تحليلك يُتذكَّر ويُترجَم فعليًا إلى قرار، بدل أن يُقرأ ويُنسى فور إغلاق التقرير. الرقم بلا سياق قصصي واضح يتبخر من ذاكرة القارئ خلال دقائق.</w:t>
            </w:r>
          </w:p>
          <w:p>
            <w:pPr>
              <w:bidi/>
              <w:spacing w:before="100"/>
            </w:pPr>
            <w:r>
              <w:rPr>
                <w:rFonts w:ascii="Carlito" w:hAnsi="Carlito" w:cs="Amiri" w:eastAsia="Amiri"/>
                <w:b/>
                <w:i w:val="0"/>
                <w:color w:val="13294B"/>
                <w:sz w:val="20"/>
              </w:rPr>
              <w:t xml:space="preserve">كيف تطبّقها هذا الأسبوع: </w:t>
            </w:r>
            <w:r>
              <w:rPr>
                <w:rFonts w:ascii="Carlito" w:hAnsi="Carlito" w:cs="Amiri" w:eastAsia="Amiri"/>
                <w:b w:val="0"/>
                <w:i/>
                <w:color w:val="5B6472"/>
                <w:sz w:val="20"/>
              </w:rPr>
              <w:t>قبل عرض أي رسم بياني أو جدول، حدد الجملة الواحدة التي يجب أن يفهمها الحضور منه فورًا دون شرح إضافي — واجعل عنوان الرسم نفسه هو تلك الجملة، لا وصفًا عامًا لمحتواه فقط.</w:t>
            </w:r>
          </w:p>
        </w:tc>
      </w:tr>
    </w:tbl>
    <w:p>
      <w:pPr>
        <w:spacing w:after="120"/>
      </w:pPr>
    </w:p>
    <w:p>
      <w:pPr>
        <w:bidi/>
      </w:pPr>
      <w:r>
        <w:rPr>
          <w:rFonts w:ascii="Carlito" w:hAnsi="Carlito" w:cs="Amiri" w:eastAsia="Amiri"/>
          <w:b/>
          <w:i w:val="0"/>
          <w:color w:val="13294B"/>
          <w:sz w:val="26"/>
        </w:rPr>
        <w:t>⚖️ لحظة توازن</w:t>
      </w:r>
    </w:p>
    <w:tbl>
      <w:tblPr>
        <w:tblW w:type="auto" w:w="0"/>
        <w:jc w:val="center"/>
        <w:tblLook w:firstColumn="1" w:firstRow="1" w:lastColumn="0" w:lastRow="0" w:noHBand="0" w:noVBand="1" w:val="04A0"/>
      </w:tblPr>
      <w:tblGrid>
        <w:gridCol w:w="9936"/>
      </w:tblGrid>
      <w:tr>
        <w:tc>
          <w:tcPr>
            <w:tcW w:type="dxa" w:w="9936"/>
            <w:shd w:fill="FBF9F4"/>
            <w:tcMar>
              <w:top w:w="110" w:type="dxa"/>
              <w:bottom w:w="110" w:type="dxa"/>
              <w:left w:w="200" w:type="dxa"/>
              <w:right w:w="200" w:type="dxa"/>
            </w:tcMar>
          </w:tcPr>
          <w:p>
            <w:pPr>
              <w:bidi/>
              <w:spacing w:line="312" w:lineRule="auto"/>
            </w:pPr>
            <w:r>
              <w:rPr>
                <w:rFonts w:ascii="Carlito" w:hAnsi="Carlito" w:cs="Amiri" w:eastAsia="Amiri"/>
                <w:b w:val="0"/>
                <w:i/>
                <w:color w:val="1C2430"/>
                <w:sz w:val="21"/>
              </w:rPr>
              <w:t>استثمر في علاقات زميلة داعمة داخل فريقك — شخص واحد تستطيع مشاركته إحباط يوم صعب دون خوف من الحكم عليك — من أقوى العوامل الواقية من الإرهاق المزمن حسب أدبيات علم النفس التنظيمي المتكررة في هذا المجال.</w:t>
            </w:r>
          </w:p>
        </w:tc>
      </w:tr>
    </w:tbl>
    <w:p>
      <w:pPr>
        <w:spacing w:after="160"/>
      </w:pPr>
    </w:p>
    <w:p>
      <w:pPr>
        <w:bidi/>
      </w:pPr>
      <w:r>
        <w:rPr>
          <w:rFonts w:ascii="Carlito" w:hAnsi="Carlito" w:cs="Amiri" w:eastAsia="Amiri"/>
          <w:b/>
          <w:i w:val="0"/>
          <w:color w:val="13294B"/>
          <w:sz w:val="26"/>
        </w:rPr>
        <w:t>📚 للقراءة هذا الأسبوع</w:t>
      </w:r>
    </w:p>
    <w:p>
      <w:pPr>
        <w:bidi/>
        <w:spacing w:after="80"/>
      </w:pPr>
      <w:r>
        <w:rPr>
          <w:rFonts w:ascii="Carlito" w:hAnsi="Carlito" w:cs="Amiri" w:eastAsia="Amiri"/>
          <w:b w:val="0"/>
          <w:i w:val="0"/>
          <w:color w:val="5B6472"/>
          <w:sz w:val="21"/>
        </w:rPr>
        <w:t xml:space="preserve">• مقال — </w:t>
      </w:r>
      <w:hyperlink r:id="rId13">
        <w:r>
          <w:rPr>
            <w:rFonts w:ascii="Carlito" w:hAnsi="Carlito" w:cs="Amiri" w:eastAsia="Amiri"/>
            <w:sz w:val="21"/>
            <w:b/>
            <w:u w:val="single"/>
            <w:color w:val="C9A227"/>
          </w:rPr>
          <w:t>The Impact of Internal Auditors' Data Analytics Use on the Reliability and Timeliness of Financial Reporting</w:t>
        </w:r>
      </w:hyperlink>
      <w:r>
        <w:rPr>
          <w:rFonts w:ascii="Carlito" w:hAnsi="Carlito" w:cs="Amiri" w:eastAsia="Amiri"/>
          <w:b w:val="0"/>
          <w:i w:val="0"/>
          <w:color w:val="5B6472"/>
          <w:sz w:val="19"/>
        </w:rPr>
        <w:t xml:space="preserve">  (Internal Auditing)</w:t>
      </w:r>
    </w:p>
    <w:p>
      <w:pPr>
        <w:spacing w:before="160" w:after="120"/>
        <w:pBdr>
          <w:bottom w:val="single" w:sz="8" w:space="1" w:color="C9A227"/>
        </w:pBdr>
      </w:pPr>
    </w:p>
    <w:p>
      <w:pPr>
        <w:bidi/>
      </w:pPr>
      <w:r>
        <w:rPr>
          <w:rFonts w:ascii="Carlito" w:hAnsi="Carlito" w:cs="Amiri" w:eastAsia="Amiri"/>
          <w:b/>
          <w:i w:val="0"/>
          <w:color w:val="13294B"/>
          <w:sz w:val="22"/>
        </w:rPr>
        <w:t xml:space="preserve">📕 كتاب الأسبوع: </w:t>
      </w:r>
      <w:r>
        <w:rPr>
          <w:rFonts w:ascii="Carlito" w:hAnsi="Carlito" w:cs="Amiri" w:eastAsia="Amiri"/>
          <w:b/>
          <w:i w:val="0"/>
          <w:color w:val="1C2430"/>
          <w:sz w:val="22"/>
        </w:rPr>
        <w:t>Thinking, Fast and Slow — Daniel Kahneman</w:t>
      </w:r>
    </w:p>
    <w:p>
      <w:pPr>
        <w:bidi/>
      </w:pPr>
      <w:r>
        <w:rPr>
          <w:rFonts w:ascii="Carlito" w:hAnsi="Carlito" w:cs="Amiri" w:eastAsia="Amiri"/>
          <w:b w:val="0"/>
          <w:i/>
          <w:color w:val="5B6472"/>
          <w:sz w:val="21"/>
        </w:rPr>
        <w:t>يشرح كيف تنحرف أحكامنا بفعل تحيّزات معرفية منهجية متكررة — أساسي لفهم لماذا يخطئ حتى الخبراء في تقدير المخاطر أحيانًا.</w:t>
      </w:r>
    </w:p>
    <w:p>
      <w:pPr>
        <w:bidi/>
        <w:spacing w:before="80"/>
      </w:pPr>
      <w:r>
        <w:rPr>
          <w:rFonts w:ascii="Carlito" w:hAnsi="Carlito" w:cs="Amiri" w:eastAsia="Amiri"/>
          <w:b/>
          <w:i w:val="0"/>
          <w:color w:val="13294B"/>
          <w:sz w:val="20"/>
        </w:rPr>
        <w:t xml:space="preserve">💡 طبّقه هذا الأسبوع: </w:t>
      </w:r>
      <w:r>
        <w:rPr>
          <w:rFonts w:ascii="Carlito" w:hAnsi="Carlito" w:cs="Amiri" w:eastAsia="Amiri"/>
          <w:b w:val="0"/>
          <w:i w:val="0"/>
          <w:color w:val="1C2430"/>
          <w:sz w:val="20"/>
        </w:rPr>
        <w:t>قبل إصدار حكمك على أي ملاحظة تدقيق، اسأل نفسك: هل أنا متأثر بأول انطباع كوّنته (Anchoring Bias) أكثر من الأدلة الفعلية أمامي؟</w:t>
      </w:r>
    </w:p>
    <w:p>
      <w:pPr>
        <w:spacing w:after="16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Carlito" w:hAnsi="Carlito" w:cs="Amiri" w:eastAsia="Amiri"/>
        <w:b w:val="0"/>
        <w:i w:val="0"/>
        <w:color w:val="5B6472"/>
        <w:sz w:val="16"/>
      </w:rPr>
      <w:t xml:space="preserve">النشرة الأسبوعية للحوكمة والتدقيق — سري وللاستخدام الداخلي فقط  |  </w:t>
    </w:r>
    <w:r>
      <w:rPr>
        <w:rFonts w:ascii="Carlito" w:hAnsi="Carlito" w:cs="Amiri" w:eastAsia="Amiri"/>
        <w:b w:val="0"/>
        <w:i w:val="0"/>
        <w:color w:val="5B64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hrm.org/mena/ar/topics-tools/employment-law-compliance/to-return-to-office-full-time-go-hybrid-choose-remote-work" TargetMode="External"/><Relationship Id="rId11" Type="http://schemas.openxmlformats.org/officeDocument/2006/relationships/hyperlink" Target="https://www.iasplus.com/en/resources/ifrsf/due-process/iasb-eds" TargetMode="External"/><Relationship Id="rId12" Type="http://schemas.openxmlformats.org/officeDocument/2006/relationships/hyperlink" Target="https://universalconference.us/index.php/icms/citationstylelanguage/get/apa?submissionId=2517&amp;publicationId=2517&amp;issueId=69" TargetMode="External"/><Relationship Id="rId13" Type="http://schemas.openxmlformats.org/officeDocument/2006/relationships/hyperlink" Target="https://internalauditing.de/w020617p/blog/category/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