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B1F3A"/>
            <w:tcMar>
              <w:top w:w="900" w:type="dxa"/>
              <w:bottom w:w="900" w:type="dxa"/>
              <w:left w:w="500" w:type="dxa"/>
              <w:right w:w="500" w:type="dxa"/>
            </w:tcMar>
          </w:tcPr>
          <w:p>
            <w:pPr>
              <w:jc w:val="center"/>
              <w:bidi/>
            </w:pPr>
            <w:r>
              <w:rPr>
                <w:rFonts w:ascii="Calibri" w:hAnsi="Calibri" w:cs="Calibri" w:eastAsia="Calibri"/>
                <w:b/>
                <w:i w:val="0"/>
                <w:color w:val="E8D9A0"/>
                <w:sz w:val="22"/>
              </w:rPr>
              <w:t>العدد 1  •  2026-08-16</w:t>
            </w:r>
          </w:p>
          <w:p>
            <w:pPr>
              <w:spacing w:before="280"/>
              <w:jc w:val="center"/>
              <w:bidi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52"/>
              </w:rPr>
              <w:t>النشرة الأسبوعية للحوكمة والتدقيق الداخلي</w:t>
            </w:r>
          </w:p>
          <w:p>
            <w:pPr>
              <w:spacing w:before="200"/>
              <w:jc w:val="center"/>
              <w:bidi/>
            </w:pPr>
            <w:r>
              <w:rPr>
                <w:rFonts w:ascii="Calibri" w:hAnsi="Calibri" w:cs="Calibri" w:eastAsia="Calibri"/>
                <w:b w:val="0"/>
                <w:i/>
                <w:color w:val="C9A227"/>
                <w:sz w:val="28"/>
              </w:rPr>
              <w:t>تعذر توليد المحتوى الأسبوعي تلقائيًا</w:t>
            </w:r>
          </w:p>
          <w:p>
            <w:pPr>
              <w:spacing w:before="320"/>
              <w:jc w:val="center"/>
              <w:pBdr>
                <w:top w:val="single" w:sz="6" w:space="1" w:color="C9A227"/>
              </w:pBdr>
            </w:pPr>
          </w:p>
          <w:p>
            <w:pPr>
              <w:spacing w:before="200"/>
              <w:jc w:val="center"/>
              <w:bidi/>
            </w:pPr>
            <w:r>
              <w:rPr>
                <w:rFonts w:ascii="Calibri" w:hAnsi="Calibri" w:cs="Calibri" w:eastAsia="Calibri"/>
                <w:b w:val="0"/>
                <w:i w:val="0"/>
                <w:color w:val="E8D9A0"/>
                <w:sz w:val="20"/>
              </w:rPr>
              <w:t>تدقيق داخلي • تدقيق أداء • حوكمة • رقابة داخلية • إدارة مخاطر • موارد بشرية • محاسبة إدارية • إصلاح القطاع العام</w:t>
            </w:r>
          </w:p>
        </w:tc>
      </w:tr>
    </w:tbl>
    <w:p/>
    <w:p>
      <w:pPr>
        <w:bidi/>
        <w:spacing w:after="80"/>
      </w:pPr>
      <w:r>
        <w:rPr>
          <w:rFonts w:ascii="Calibri" w:hAnsi="Calibri" w:cs="Calibri" w:eastAsia="Calibri"/>
          <w:b/>
          <w:i w:val="0"/>
          <w:color w:val="13294B"/>
          <w:sz w:val="26"/>
        </w:rPr>
        <w:t>كلمة التحرير</w:t>
      </w:r>
    </w:p>
    <w:p>
      <w:pPr>
        <w:bidi/>
        <w:spacing w:line="312" w:lineRule="auto"/>
      </w:pPr>
      <w:r>
        <w:rPr>
          <w:rFonts w:ascii="Calibri" w:hAnsi="Calibri" w:cs="Calibri" w:eastAsia="Calibri"/>
          <w:b w:val="0"/>
          <w:i/>
          <w:color w:val="5B6472"/>
          <w:sz w:val="23"/>
        </w:rPr>
        <w:t>تعذّر الاتصال بخدمة توليد المحتوى هذا الأسبوع. الرجاء مراجعة سجل التنفيذ (logs) والتأكد من صلاحية GEMINI_API_KEY، ثم إعادة تشغيل خط الإنتاج.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3294B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  <w:bidi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إجمالي التحديثات</w:t>
            </w:r>
          </w:p>
        </w:tc>
        <w:tc>
          <w:tcPr>
            <w:tcW w:type="dxa" w:w="3312"/>
            <w:shd w:fill="13294B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  <w:bidi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تحديثات عالية الأولوية</w:t>
            </w:r>
          </w:p>
        </w:tc>
        <w:tc>
          <w:tcPr>
            <w:tcW w:type="dxa" w:w="3312"/>
            <w:shd w:fill="13294B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  <w:bidi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المجالات المغطاة</w:t>
            </w:r>
          </w:p>
        </w:tc>
      </w:tr>
      <w:tr>
        <w:tc>
          <w:tcPr>
            <w:tcW w:type="dxa" w:w="3312"/>
            <w:shd w:fill="FBF9F4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C9A227"/>
                <w:sz w:val="36"/>
              </w:rPr>
              <w:t>0</w:t>
            </w:r>
          </w:p>
        </w:tc>
        <w:tc>
          <w:tcPr>
            <w:tcW w:type="dxa" w:w="3312"/>
            <w:shd w:fill="FBF9F4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8C1D1D"/>
                <w:sz w:val="36"/>
              </w:rPr>
              <w:t>0</w:t>
            </w:r>
          </w:p>
        </w:tc>
        <w:tc>
          <w:tcPr>
            <w:tcW w:type="dxa" w:w="3312"/>
            <w:shd w:fill="FBF9F4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C9A227"/>
                <w:sz w:val="36"/>
              </w:rPr>
              <w:t>0</w:t>
            </w:r>
          </w:p>
        </w:tc>
      </w:tr>
    </w:tbl>
    <w:p>
      <w:pPr>
        <w:spacing w:after="160"/>
      </w:pPr>
    </w:p>
    <w:p>
      <w:pPr>
        <w:bidi/>
      </w:pPr>
      <w:r>
        <w:rPr>
          <w:rFonts w:ascii="Calibri" w:hAnsi="Calibri" w:cs="Calibri" w:eastAsia="Calibri"/>
          <w:b/>
          <w:i w:val="0"/>
          <w:color w:val="13294B"/>
          <w:sz w:val="26"/>
        </w:rPr>
        <w:t>⚡ انتصارات سريعة (Quick Wins)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9F4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bottom w:val="none"/>
              <w:left w:val="none"/>
              <w:right w:val="single" w:sz="20" w:space="0" w:color="C9A227"/>
            </w:tcBorders>
          </w:tcPr>
          <w:p>
            <w:pPr>
              <w:bidi/>
              <w:spacing w:after="120"/>
            </w:pPr>
            <w:r>
              <w:rPr>
                <w:rFonts w:ascii="Calibri" w:hAnsi="Calibri" w:cs="Calibri" w:eastAsia="Calibri"/>
                <w:b/>
                <w:i w:val="0"/>
                <w:color w:val="1E6B3E"/>
                <w:sz w:val="22"/>
              </w:rPr>
              <w:t xml:space="preserve">✓  </w:t>
            </w:r>
            <w:r>
              <w:rPr>
                <w:rFonts w:ascii="Calibri" w:hAnsi="Calibri" w:cs="Calibri" w:eastAsia="Calibri"/>
                <w:b w:val="0"/>
                <w:i w:val="0"/>
                <w:color w:val="1C2430"/>
                <w:sz w:val="22"/>
              </w:rPr>
              <w:t>راجع يدويًا آخر إصدارات IIA وCOSO لهذا الأسبوع ريثما تُحل مشكلة التوليد الآلي.</w:t>
            </w:r>
          </w:p>
        </w:tc>
      </w:tr>
    </w:tbl>
    <w:p>
      <w:pPr>
        <w:spacing w:after="160"/>
      </w:pPr>
    </w:p>
    <w:p>
      <w:pPr>
        <w:bidi/>
      </w:pPr>
      <w:r>
        <w:rPr>
          <w:rFonts w:ascii="Calibri" w:hAnsi="Calibri" w:cs="Calibri" w:eastAsia="Calibri"/>
          <w:b/>
          <w:i w:val="0"/>
          <w:color w:val="13294B"/>
          <w:sz w:val="26"/>
        </w:rPr>
        <w:t>🕰️ ومضة إدارية — إدارة الموارد البشرية الاستراتيجية (Strategic HR Management)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4" w:space="0" w:color="D8D2C2"/>
              <w:bottom w:val="single" w:sz="4" w:space="0" w:color="D8D2C2"/>
              <w:left w:val="single" w:sz="4" w:space="0" w:color="D8D2C2"/>
              <w:right w:val="single" w:sz="4" w:space="0" w:color="D8D2C2"/>
            </w:tcBorders>
          </w:tcPr>
          <w:p>
            <w:pPr>
              <w:bidi/>
              <w:spacing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C2430"/>
                <w:sz w:val="22"/>
              </w:rPr>
              <w:t>سيُستكمل تلقائيًا في العدد القادم.</w:t>
            </w:r>
          </w:p>
        </w:tc>
      </w:tr>
    </w:tbl>
    <w:p>
      <w:pPr>
        <w:spacing w:after="160"/>
      </w:pPr>
    </w:p>
    <w:p>
      <w:pPr>
        <w:bidi/>
      </w:pPr>
      <w:r>
        <w:rPr>
          <w:rFonts w:ascii="Calibri" w:hAnsi="Calibri" w:cs="Calibri" w:eastAsia="Calibri"/>
          <w:b/>
          <w:i w:val="0"/>
          <w:color w:val="13294B"/>
          <w:sz w:val="26"/>
        </w:rPr>
        <w:t>📌 أبرز التطورات حسب المجال</w:t>
      </w:r>
    </w:p>
    <w:p>
      <w:pPr>
        <w:spacing w:before="40" w:after="160"/>
        <w:pBdr>
          <w:bottom w:val="single" w:sz="8" w:space="1" w:color="C9A227"/>
        </w:pBdr>
      </w:pP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Fonts w:ascii="Calibri" w:hAnsi="Calibri" w:cs="Calibri" w:eastAsia="Calibri"/>
        <w:b w:val="0"/>
        <w:i w:val="0"/>
        <w:color w:val="5B6472"/>
        <w:sz w:val="16"/>
      </w:rPr>
      <w:t xml:space="preserve">النشرة الأسبوعية للحوكمة والتدقيق — سري وللاستخدام الداخلي فقط  |  </w:t>
    </w:r>
    <w:r>
      <w:rPr>
        <w:rFonts w:ascii="Calibri" w:hAnsi="Calibri" w:cs="Calibri" w:eastAsia="Calibri"/>
        <w:b w:val="0"/>
        <w:i w:val="0"/>
        <w:color w:val="5B6472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