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F3A"/>
            <w:tcMar>
              <w:top w:w="900" w:type="dxa"/>
              <w:bottom w:w="900" w:type="dxa"/>
              <w:left w:w="500" w:type="dxa"/>
              <w:right w:w="500" w:type="dxa"/>
            </w:tcMar>
          </w:tcPr>
          <w:p>
            <w:pPr>
              <w:jc w:val="center"/>
              <w:bidi/>
            </w:pPr>
            <w:r>
              <w:rPr>
                <w:rFonts w:ascii="Carlito" w:hAnsi="Carlito" w:cs="Amiri" w:eastAsia="Amiri"/>
                <w:b/>
                <w:i w:val="0"/>
                <w:color w:val="E8D9A0"/>
                <w:sz w:val="22"/>
              </w:rPr>
              <w:t>العدد 5  •  2026-09-20</w:t>
            </w:r>
          </w:p>
          <w:p>
            <w:pPr>
              <w:spacing w:before="280"/>
              <w:jc w:val="center"/>
              <w:bidi/>
            </w:pPr>
            <w:r>
              <w:rPr>
                <w:rFonts w:ascii="Carlito" w:hAnsi="Carlito" w:cs="Amiri" w:eastAsia="Amiri"/>
                <w:b/>
                <w:i w:val="0"/>
                <w:color w:val="FFFFFF"/>
                <w:sz w:val="52"/>
              </w:rPr>
              <w:t>النشرة الأسبوعية للحوكمة والتدقيق الداخلي</w:t>
            </w:r>
          </w:p>
          <w:p>
            <w:pPr>
              <w:spacing w:before="200"/>
              <w:jc w:val="center"/>
              <w:bidi/>
            </w:pPr>
            <w:r>
              <w:rPr>
                <w:rFonts w:ascii="Carlito" w:hAnsi="Carlito" w:cs="Amiri" w:eastAsia="Amiri"/>
                <w:b w:val="0"/>
                <w:i/>
                <w:color w:val="C9A227"/>
                <w:sz w:val="28"/>
              </w:rPr>
              <w:t>تقنية التدقيق الداخلي وتطبيقات الذكاء الاصطناعي</w:t>
            </w:r>
          </w:p>
          <w:p>
            <w:pPr>
              <w:spacing w:before="320"/>
              <w:jc w:val="center"/>
              <w:bidi/>
            </w:pPr>
            <w:r>
              <w:rPr>
                <w:rFonts w:ascii="Carlito" w:hAnsi="Carlito" w:cs="Amiri" w:eastAsia="Amiri"/>
                <w:b w:val="0"/>
                <w:i w:val="0"/>
                <w:color w:val="E8D9A0"/>
                <w:sz w:val="17"/>
              </w:rPr>
              <w:t>التدقيق الداخلي (Internal Audit) • تدقيق الأداء (Performance Audit) • تدقيق الالتزام (Compliance Audit) • تدقيق تكنولوجيا المعلومات (IT Audit) • الحوكمة (Governance) • الرقابة الداخلية (Internal Controls) • إدارة المخاطر (Risk Management) • الموارد البشرية (HR) • المحاسبة الإدارية (Management Accounting) • إصلاح وتحول القطاع العام (Public Sector Reform)</w:t>
            </w:r>
          </w:p>
        </w:tc>
      </w:tr>
    </w:tbl>
    <w:p/>
    <w:p>
      <w:pPr>
        <w:bidi/>
        <w:spacing w:after="80"/>
      </w:pPr>
      <w:r>
        <w:rPr>
          <w:rFonts w:ascii="Carlito" w:hAnsi="Carlito" w:cs="Amiri" w:eastAsia="Amiri"/>
          <w:b/>
          <w:i w:val="0"/>
          <w:color w:val="13294B"/>
          <w:sz w:val="26"/>
        </w:rPr>
        <w:t>✉️ كلمة التحرير</w:t>
      </w:r>
    </w:p>
    <w:p>
      <w:pPr>
        <w:bidi/>
        <w:spacing w:line="312" w:lineRule="auto"/>
      </w:pPr>
      <w:r>
        <w:rPr>
          <w:rFonts w:ascii="Carlito" w:hAnsi="Carlito" w:cs="Amiri" w:eastAsia="Amiri"/>
          <w:b w:val="0"/>
          <w:i/>
          <w:color w:val="5B6472"/>
          <w:sz w:val="23"/>
        </w:rPr>
        <w:t>في هذا الأسبوع، نرى كيف أن تقنية التدقيق الداخلي يتطور بسرعة من خلال استخدام الذكاء الاصطناعي، مما يفتح آفاقًا جديدة للتحليلات والرقابة. هذا التحول يستحق انتباهنا لأنه يمكن أن يزيد من الكفاءة ويزيد من فاعلية التدقيق.</w:t>
      </w:r>
    </w:p>
    <w:p>
      <w:pPr>
        <w:spacing w:after="80"/>
      </w:pPr>
    </w:p>
    <w:p>
      <w:pPr>
        <w:bidi/>
      </w:pPr>
      <w:r>
        <w:rPr>
          <w:rFonts w:ascii="Carlito" w:hAnsi="Carlito" w:cs="Amiri" w:eastAsia="Amiri"/>
          <w:b/>
          <w:i w:val="0"/>
          <w:color w:val="13294B"/>
          <w:sz w:val="26"/>
        </w:rPr>
        <w:t>⚡ لمحة الأسبوع</w:t>
      </w:r>
    </w:p>
    <w:tbl>
      <w:tblPr>
        <w:tblW w:type="auto" w:w="0"/>
        <w:jc w:val="center"/>
        <w:tblLook w:firstColumn="1" w:firstRow="1" w:lastColumn="0" w:lastRow="0" w:noHBand="0" w:noVBand="1" w:val="04A0"/>
      </w:tblPr>
      <w:tblGrid>
        <w:gridCol w:w="9936"/>
      </w:tblGrid>
      <w:tr>
        <w:tc>
          <w:tcPr>
            <w:tcW w:type="dxa" w:w="9936"/>
            <w:shd w:fill="13294B"/>
            <w:tcMar>
              <w:top w:w="140" w:type="dxa"/>
              <w:bottom w:w="140" w:type="dxa"/>
              <w:left w:w="220" w:type="dxa"/>
              <w:right w:w="220" w:type="dxa"/>
            </w:tcMar>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التدقيق الداخلي يركز الآن على مناطق عالية المخاطر مثل الذكاء الاصطناعي ومراقبة الأمان.</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INTOSAI يركز على تعزيز كفاءات التدقيق من أجل أهداف التنمية المستدامة.</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OCEG يقدم نموذجًا جديدًا للإدارة، المخاطر، والامتثال (GRC) يركز على الحوكمة الرشيدة.</w:t>
            </w:r>
          </w:p>
        </w:tc>
      </w:tr>
    </w:tbl>
    <w:p>
      <w:pPr>
        <w:spacing w:after="160"/>
      </w:pPr>
    </w:p>
    <w:tbl>
      <w:tblPr>
        <w:tblW w:type="auto" w:w="0"/>
        <w:jc w:val="center"/>
        <w:tblLook w:firstColumn="1" w:firstRow="1" w:lastColumn="0" w:lastRow="0" w:noHBand="0" w:noVBand="1" w:val="04A0"/>
      </w:tblPr>
      <w:tblGrid>
        <w:gridCol w:w="2484"/>
        <w:gridCol w:w="2484"/>
        <w:gridCol w:w="2484"/>
        <w:gridCol w:w="2484"/>
      </w:tblGrid>
      <w:tr>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إجمالي التحديثات</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معايير جديدة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أولوية عالية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المجالات المغطاة</w:t>
            </w:r>
          </w:p>
        </w:tc>
      </w:tr>
      <w:tr>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2</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8C1D1D"/>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2</w:t>
            </w:r>
          </w:p>
        </w:tc>
      </w:tr>
    </w:tbl>
    <w:p>
      <w:pPr>
        <w:spacing w:after="160"/>
      </w:pPr>
    </w:p>
    <w:p>
      <w:pPr>
        <w:bidi/>
      </w:pPr>
      <w:r>
        <w:rPr>
          <w:rFonts w:ascii="Carlito" w:hAnsi="Carlito" w:cs="Amiri" w:eastAsia="Amiri"/>
          <w:b/>
          <w:i w:val="0"/>
          <w:color w:val="13294B"/>
          <w:sz w:val="26"/>
        </w:rPr>
        <w:t>🔢 رقم الأسبوع</w:t>
      </w:r>
    </w:p>
    <w:tbl>
      <w:tblPr>
        <w:tblW w:type="auto" w:w="0"/>
        <w:jc w:val="center"/>
        <w:tblLook w:firstColumn="1" w:firstRow="1" w:lastColumn="0" w:lastRow="0" w:noHBand="0" w:noVBand="1" w:val="04A0"/>
      </w:tblPr>
      <w:tblGrid>
        <w:gridCol w:w="9936"/>
      </w:tblGrid>
      <w:tr>
        <w:tc>
          <w:tcPr>
            <w:tcW w:type="dxa" w:w="9936"/>
            <w:shd w:fill="FBF9F4"/>
            <w:tcMar>
              <w:top w:w="160" w:type="dxa"/>
              <w:bottom w:w="160" w:type="dxa"/>
              <w:left w:w="220" w:type="dxa"/>
              <w:right w:w="220" w:type="dxa"/>
            </w:tcMar>
            <w:tcBorders>
              <w:right w:val="single" w:sz="20" w:space="0" w:color="C9A227"/>
            </w:tcBorders>
          </w:tcPr>
          <w:p>
            <w:pPr>
              <w:bidi/>
            </w:pPr>
            <w:r>
              <w:rPr>
                <w:rFonts w:ascii="Carlito" w:hAnsi="Carlito" w:cs="Amiri" w:eastAsia="Amiri"/>
                <w:b/>
                <w:i w:val="0"/>
                <w:color w:val="13294B"/>
                <w:sz w:val="56"/>
              </w:rPr>
              <w:t>2026</w:t>
            </w:r>
          </w:p>
          <w:p>
            <w:pPr>
              <w:bidi/>
              <w:spacing w:before="120" w:line="312" w:lineRule="auto"/>
            </w:pPr>
            <w:r>
              <w:rPr>
                <w:rFonts w:ascii="Carlito" w:hAnsi="Carlito" w:cs="Amiri" w:eastAsia="Amiri"/>
                <w:b w:val="0"/>
                <w:i w:val="0"/>
                <w:color w:val="1C2430"/>
                <w:sz w:val="22"/>
              </w:rPr>
              <w:t>في عام 2026، سينتهي العقد الأول من الأهداف العالمية للتنمية المستدامة، مما يجعل التدقيق الداخلي أكثر أهمية في تقييم التقدم.</w:t>
            </w:r>
          </w:p>
          <w:p>
            <w:pPr>
              <w:bidi/>
              <w:spacing w:before="12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INTOSAI</w:t>
              </w:r>
            </w:hyperlink>
          </w:p>
        </w:tc>
      </w:tr>
    </w:tbl>
    <w:p>
      <w:pPr>
        <w:spacing w:after="160"/>
      </w:pPr>
    </w:p>
    <w:p>
      <w:pPr>
        <w:bidi/>
      </w:pPr>
      <w:r>
        <w:rPr>
          <w:rFonts w:ascii="Carlito" w:hAnsi="Carlito" w:cs="Amiri" w:eastAsia="Amiri"/>
          <w:b/>
          <w:i w:val="0"/>
          <w:color w:val="13294B"/>
          <w:sz w:val="26"/>
        </w:rPr>
        <w:t>🆕 رادار المعايير والإصدارات الجديدة</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FFFFFF"/>
            <w:tcMar>
              <w:top w:w="140" w:type="dxa"/>
              <w:bottom w:w="140" w:type="dxa"/>
              <w:left w:w="200" w:type="dxa"/>
              <w:right w:w="200" w:type="dxa"/>
            </w:tcMar>
            <w:tcBorders>
              <w:right w:val="single" w:sz="20" w:space="0" w:color="1E6B3E"/>
            </w:tcBorders>
            <w:tcBorders>
              <w:top w:val="single" w:sz="4" w:space="0" w:color="D8D2C2"/>
              <w:bottom w:val="single" w:sz="4" w:space="0" w:color="D8D2C2"/>
              <w:left w:val="single" w:sz="4" w:space="0" w:color="D8D2C2"/>
            </w:tcBorders>
          </w:tcPr>
          <w:p>
            <w:pPr>
              <w:bidi/>
            </w:pPr>
            <w:r>
              <w:rPr>
                <w:rFonts w:ascii="Carlito" w:hAnsi="Carlito" w:cs="Amiri" w:eastAsia="Amiri"/>
                <w:b/>
                <w:i w:val="0"/>
                <w:color w:val="13294B"/>
                <w:sz w:val="25"/>
              </w:rPr>
              <w:t>ميثاق التدقيق الداخلي - The Institute of Internal Auditors</w:t>
            </w:r>
            <w:r>
              <w:rPr>
                <w:rFonts w:ascii="Carlito" w:hAnsi="Carlito" w:cs="Amiri" w:eastAsia="Amiri"/>
                <w:b/>
                <w:i w:val="0"/>
                <w:color w:val="1E6B3E"/>
                <w:sz w:val="19"/>
              </w:rPr>
              <w:t xml:space="preserve">  [The Institute of Internal Auditors | معيار نهائي]</w:t>
            </w:r>
          </w:p>
          <w:p>
            <w:pPr>
              <w:bidi/>
              <w:spacing w:before="60"/>
            </w:pPr>
            <w:r>
              <w:rPr>
                <w:rFonts w:ascii="Carlito" w:hAnsi="Carlito" w:cs="Amiri" w:eastAsia="Amiri"/>
                <w:b w:val="0"/>
                <w:i/>
                <w:color w:val="5B6472"/>
                <w:sz w:val="18"/>
              </w:rPr>
              <w:t>الإصدار: أغسطس 2019  |  السريان: لم يتم تحديد تاريخ معين  |  آخر أجل للتعليق: لم يتم تحديد تاريخ معين</w:t>
            </w:r>
          </w:p>
          <w:p>
            <w:pPr>
              <w:bidi/>
              <w:spacing w:before="120" w:line="312" w:lineRule="auto"/>
            </w:pPr>
            <w:r>
              <w:rPr>
                <w:rFonts w:ascii="Carlito" w:hAnsi="Carlito" w:cs="Amiri" w:eastAsia="Amiri"/>
                <w:b w:val="0"/>
                <w:i w:val="0"/>
                <w:color w:val="1C2430"/>
                <w:sz w:val="21"/>
              </w:rPr>
              <w:t>يحدد الميثاق معايير التدقيق الداخلي ويشجع على الاستقلالية والتزام بالمعايير العالمية.</w:t>
            </w:r>
          </w:p>
          <w:p>
            <w:pPr>
              <w:bidi/>
              <w:spacing w:before="80"/>
            </w:pPr>
            <w:r>
              <w:rPr>
                <w:rFonts w:ascii="Carlito" w:hAnsi="Carlito" w:cs="Amiri" w:eastAsia="Amiri"/>
                <w:b/>
                <w:i w:val="0"/>
                <w:color w:val="13294B"/>
                <w:sz w:val="20"/>
              </w:rPr>
              <w:t xml:space="preserve">لماذا يهمكم: </w:t>
            </w:r>
            <w:r>
              <w:rPr>
                <w:rFonts w:ascii="Carlito" w:hAnsi="Carlito" w:cs="Amiri" w:eastAsia="Amiri"/>
                <w:b w:val="0"/>
                <w:i w:val="0"/>
                <w:color w:val="1C2430"/>
                <w:sz w:val="20"/>
              </w:rPr>
              <w:t>يقدم إطارًا لضمان فعالية التدقيق الداخلي.</w:t>
            </w:r>
          </w:p>
          <w:p>
            <w:pPr>
              <w:bidi/>
              <w:spacing w:before="160"/>
            </w:pPr>
            <w:r>
              <w:rPr>
                <w:rFonts w:ascii="Carlito" w:hAnsi="Carlito" w:cs="Amiri" w:eastAsia="Amiri"/>
                <w:b/>
                <w:i w:val="0"/>
                <w:color w:val="C9A227"/>
                <w:sz w:val="22"/>
              </w:rPr>
              <w:t xml:space="preserve">⬇ </w:t>
            </w:r>
            <w:hyperlink r:id="rId11">
              <w:r>
                <w:rPr>
                  <w:rFonts w:ascii="Carlito" w:hAnsi="Carlito" w:cs="Amiri" w:eastAsia="Amiri"/>
                  <w:sz w:val="22"/>
                  <w:b/>
                  <w:u w:val="single"/>
                  <w:color w:val="C9A227"/>
                </w:rPr>
                <w:t>تحميل / الاطلاع على The Institute of Internal Auditors</w:t>
              </w:r>
            </w:hyperlink>
          </w:p>
        </w:tc>
      </w:tr>
    </w:tbl>
    <w:p>
      <w:pPr>
        <w:spacing w:after="120"/>
      </w:pPr>
    </w:p>
    <w:p>
      <w:pPr>
        <w:bidi/>
      </w:pPr>
      <w:r>
        <w:rPr>
          <w:rFonts w:ascii="Carlito" w:hAnsi="Carlito" w:cs="Amiri" w:eastAsia="Amiri"/>
          <w:b/>
          <w:i w:val="0"/>
          <w:color w:val="13294B"/>
          <w:sz w:val="26"/>
        </w:rPr>
        <w:t>✍️ ورشة الصياغة</w:t>
      </w:r>
    </w:p>
    <w:p>
      <w:pPr>
        <w:bidi/>
        <w:spacing w:after="80"/>
      </w:pPr>
      <w:r>
        <w:rPr>
          <w:rFonts w:ascii="Carlito" w:hAnsi="Carlito" w:cs="Amiri" w:eastAsia="Amiri"/>
          <w:b w:val="0"/>
          <w:i/>
          <w:color w:val="5B6472"/>
          <w:sz w:val="20"/>
        </w:rPr>
        <w:t>هذا الأسبوع: المقدمة</w:t>
      </w:r>
    </w:p>
    <w:tbl>
      <w:tblPr>
        <w:tblW w:type="auto" w:w="0"/>
        <w:jc w:val="center"/>
        <w:tblLook w:firstColumn="1" w:firstRow="1" w:lastColumn="0" w:lastRow="0" w:noHBand="0" w:noVBand="1" w:val="04A0"/>
      </w:tblPr>
      <w:tblGrid>
        <w:gridCol w:w="9936"/>
      </w:tblGrid>
      <w:tr>
        <w:tc>
          <w:tcPr>
            <w:tcW w:type="dxa" w:w="9936"/>
            <w:shd w:fill="FBF9F4"/>
            <w:tcMar>
              <w:top w:w="140" w:type="dxa"/>
              <w:bottom w:w="140" w:type="dxa"/>
              <w:left w:w="200" w:type="dxa"/>
              <w:right w:w="200" w:type="dxa"/>
            </w:tcMar>
            <w:tcBorders>
              <w:right w:val="single" w:sz="20" w:space="0" w:color="C9A227"/>
            </w:tcBorders>
          </w:tcPr>
          <w:p>
            <w:pPr>
              <w:bidi/>
              <w:spacing w:line="312" w:lineRule="auto"/>
            </w:pPr>
            <w:r>
              <w:rPr>
                <w:rFonts w:ascii="Carlito" w:hAnsi="Carlito" w:cs="Amiri" w:eastAsia="Amiri"/>
                <w:b w:val="0"/>
                <w:i w:val="0"/>
                <w:color w:val="1C2430"/>
                <w:sz w:val="21"/>
              </w:rPr>
              <w:t>اذكر دومًا ما استُثني من النطاق عمدًا، لا فقط ما شُمِل. هذا يحمي التقرير من انتقاد لاحق ("لماذا لم تراجعوا X؟") ويوضح حدود الرأي المهني المُعبَّر عنه بدقة.</w:t>
            </w:r>
          </w:p>
          <w:p>
            <w:pPr>
              <w:bidi/>
              <w:spacing w:before="160"/>
            </w:pPr>
            <w:r>
              <w:rPr>
                <w:rFonts w:ascii="Carlito" w:hAnsi="Carlito" w:cs="Amiri" w:eastAsia="Amiri"/>
                <w:b/>
                <w:i w:val="0"/>
                <w:color w:val="8C1D1D"/>
                <w:sz w:val="20"/>
              </w:rPr>
              <w:t xml:space="preserve">❌ صياغة ضعيفة: </w:t>
            </w:r>
            <w:r>
              <w:rPr>
                <w:rFonts w:ascii="Carlito" w:hAnsi="Carlito" w:cs="Amiri" w:eastAsia="Amiri"/>
                <w:b w:val="0"/>
                <w:i/>
                <w:color w:val="5B6472"/>
                <w:sz w:val="20"/>
              </w:rPr>
              <w:t>"نطاق المهمة: مراجعة عملية إدارة المخزون في المستودع الرئيسي."</w:t>
            </w:r>
          </w:p>
          <w:p>
            <w:pPr>
              <w:bidi/>
              <w:spacing w:before="120"/>
            </w:pPr>
            <w:r>
              <w:rPr>
                <w:rFonts w:ascii="Carlito" w:hAnsi="Carlito" w:cs="Amiri" w:eastAsia="Amiri"/>
                <w:b/>
                <w:i w:val="0"/>
                <w:color w:val="1E6B3E"/>
                <w:sz w:val="20"/>
              </w:rPr>
              <w:t xml:space="preserve">✅ صياغة قوية: </w:t>
            </w:r>
            <w:r>
              <w:rPr>
                <w:rFonts w:ascii="Carlito" w:hAnsi="Carlito" w:cs="Amiri" w:eastAsia="Amiri"/>
                <w:b w:val="0"/>
                <w:i w:val="0"/>
                <w:color w:val="1C2430"/>
                <w:sz w:val="20"/>
              </w:rPr>
              <w:t>"نطاق المهمة: مراجعة عملية إدارة المخزون في المستودع الرئيسي، وتحديدًا إجراءات الاستلام والصرف والجرد الدوري. لم يشمل النطاق تقييم كفاية نظام تخطيط المخزون (ERP) نفسه من الناحية التقنية، ولا مراجعة المستودعات الفرعية الأخرى، وهو ما يُوصى بتناوله في مهمة منفصلة لاحقة."</w:t>
            </w:r>
          </w:p>
          <w:p>
            <w:pPr>
              <w:bidi/>
              <w:spacing w:before="120"/>
            </w:pPr>
            <w:r>
              <w:rPr>
                <w:rFonts w:ascii="Carlito" w:hAnsi="Carlito" w:cs="Amiri" w:eastAsia="Amiri"/>
                <w:b/>
                <w:i w:val="0"/>
                <w:color w:val="13294B"/>
                <w:sz w:val="19"/>
              </w:rPr>
              <w:t xml:space="preserve">لماذا الفرق مهم: </w:t>
            </w:r>
            <w:r>
              <w:rPr>
                <w:rFonts w:ascii="Carlito" w:hAnsi="Carlito" w:cs="Amiri" w:eastAsia="Amiri"/>
                <w:b w:val="0"/>
                <w:i w:val="0"/>
                <w:color w:val="1C2430"/>
                <w:sz w:val="19"/>
              </w:rPr>
              <w:t>بلا تحديد الاستثناءات، قد يفترض القارئ (خطأً) أن رأي المدقق يغطي كل جوانب إدارة المخزون بما فيها النظام التقني نفسه، بينما التقرير في الواقع لم يفحص ذلك إطلاقًا — فجوة فهم قد تُكلِّف المدقق مصداقيته لاحقًا لو ظهرت مشكلة في جانب لم يُغطَّ أصلاً.</w:t>
            </w:r>
          </w:p>
        </w:tc>
      </w:tr>
    </w:tbl>
    <w:p>
      <w:pPr>
        <w:spacing w:after="160"/>
      </w:pPr>
    </w:p>
    <w:p>
      <w:pPr>
        <w:bidi/>
      </w:pPr>
      <w:r>
        <w:rPr>
          <w:rFonts w:ascii="Carlito" w:hAnsi="Carlito" w:cs="Amiri" w:eastAsia="Amiri"/>
          <w:b/>
          <w:i w:val="0"/>
          <w:color w:val="13294B"/>
          <w:sz w:val="26"/>
        </w:rPr>
        <w:t>🧠 ومضة إدارية — أساسيات المحاسبة المالية ومبدأ الاستحقاق (Financial Accounting &amp; the Accrual Principle)</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4" w:space="0" w:color="D8D2C2"/>
            </w:tcBorders>
          </w:tcPr>
          <w:p>
            <w:pPr>
              <w:bidi/>
              <w:spacing w:line="312" w:lineRule="auto"/>
            </w:pPr>
            <w:r>
              <w:rPr>
                <w:rFonts w:ascii="Carlito" w:hAnsi="Carlito" w:cs="Amiri" w:eastAsia="Amiri"/>
                <w:b w:val="0"/>
                <w:i w:val="0"/>
                <w:color w:val="1C2430"/>
                <w:sz w:val="22"/>
              </w:rPr>
              <w:t>هذا أول مفهوم يجب أن يستقر في ذهن أي مدقق مبتدئ لأن كل قوائم مالية تقريبًا تُبنى عليه: الفرق بين "متى تحرّك النقد" و"متى وقعت المعاملة فعليًا".</w:t>
            </w:r>
          </w:p>
          <w:p>
            <w:pPr>
              <w:bidi/>
              <w:spacing w:line="312" w:lineRule="auto" w:before="120"/>
            </w:pPr>
            <w:r>
              <w:rPr>
                <w:rFonts w:ascii="Carlito" w:hAnsi="Carlito" w:cs="Amiri" w:eastAsia="Amiri"/>
                <w:b w:val="0"/>
                <w:i w:val="0"/>
                <w:color w:val="1C2430"/>
                <w:sz w:val="22"/>
              </w:rPr>
              <w:t>الأساس النقدي (Cash Basis) يسجل الإيراد أو المصروف فقط عند استلام أو دفع النقد فعليًا. الأساس الاستحقاقي (Accrual Basis) يسجله عند وقوع المعاملة اقتصاديًا، بصرف النظر عن موعد التحصيل أو الدفع. مثال بسيط: مؤسسة قدّمت خدمة استشارية في ديسمبر لكن لم تُحصّل قيمتها إلا في فبراير التالي. بالأساس النقدي، هذا الإيراد يظهر في فبراير (السنة المالية التالية!). بالأساس الاستحقاقي، يظهر في ديسمبر — وهو الأصح اقتصاديًا لأن الخدمة قُدِّمت فعلاً حينها.</w:t>
            </w:r>
          </w:p>
          <w:p>
            <w:pPr>
              <w:bidi/>
              <w:spacing w:line="312" w:lineRule="auto" w:before="120"/>
            </w:pPr>
            <w:r>
              <w:rPr>
                <w:rFonts w:ascii="Carlito" w:hAnsi="Carlito" w:cs="Amiri" w:eastAsia="Amiri"/>
                <w:b w:val="0"/>
                <w:i w:val="0"/>
                <w:color w:val="1C2430"/>
                <w:sz w:val="22"/>
              </w:rPr>
              <w:t>لماذا يهم هذا المدقق تحديدًا؟ لأن الأساس الاستحقاقي يُظهر التزامات ومستحقات قد تكون "مخفية" تمامًا عن عين من يقرأ فقط حركة الحساب البنكي: فاتورة مورّد لم تُدفع بعد، رواتب مستحقة لم تُصرف، ضمانات قد تتحول لالتزام فعلي. مؤسسة قد تبدو سليمة الوضع نقديًا (رصيد بنكي جيد) بينما هي مثقلة بالتزامات استحقاقية لم تُسجَّل أو تُراجَع بعد — وهذا بالضبط سبب تحوّل معظم الحكومات عالميًا من الأساس النقدي إلى معايير IPSAS الاستحقاقية خلال العقدين الأخيرين.</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عند مراجعة أي قوائم مالية، تأكد أولاً أي أساس محاسبي استُخدم — فهذا يغيّر كيف تقرأ كل رقم فيها</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ابحث تحديدًا عن المستحقات (Accruals) والمخصصات (Provisions) كأول مكان تختبئ فيه المفاجآت المالية</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"سيولة جيدة" لا تعني "وضع مالي سليم" — قد تكون المؤسسة تجلس على جبل من الالتزامات غير المسجَّلة بعد</w:t>
            </w:r>
          </w:p>
        </w:tc>
      </w:tr>
    </w:tbl>
    <w:p>
      <w:pPr>
        <w:spacing w:after="160"/>
      </w:pPr>
    </w:p>
    <w:p>
      <w:pPr>
        <w:bidi/>
      </w:pPr>
      <w:r>
        <w:rPr>
          <w:rFonts w:ascii="Carlito" w:hAnsi="Carlito" w:cs="Amiri" w:eastAsia="Amiri"/>
          <w:b/>
          <w:i w:val="0"/>
          <w:color w:val="13294B"/>
          <w:sz w:val="26"/>
        </w:rPr>
        <w:t>📖 مصطلح الأسبوع</w:t>
      </w:r>
    </w:p>
    <w:tbl>
      <w:tblPr>
        <w:tblW w:type="auto" w:w="0"/>
        <w:jc w:val="center"/>
        <w:tblLook w:firstColumn="1" w:firstRow="1" w:lastColumn="0" w:lastRow="0" w:noHBand="0" w:noVBand="1" w:val="04A0"/>
      </w:tblPr>
      <w:tblGrid>
        <w:gridCol w:w="9936"/>
      </w:tblGrid>
      <w:tr>
        <w:tc>
          <w:tcPr>
            <w:tcW w:type="dxa" w:w="9936"/>
            <w:shd w:fill="13294B"/>
            <w:tcMar>
              <w:top w:w="120" w:type="dxa"/>
              <w:bottom w:w="120" w:type="dxa"/>
              <w:left w:w="200" w:type="dxa"/>
              <w:right w:w="200" w:type="dxa"/>
            </w:tcMar>
          </w:tcPr>
          <w:p>
            <w:pPr>
              <w:bidi/>
            </w:pPr>
            <w:r>
              <w:rPr>
                <w:rFonts w:ascii="Carlito" w:hAnsi="Carlito" w:cs="Amiri" w:eastAsia="Amiri"/>
                <w:b/>
                <w:i w:val="0"/>
                <w:color w:val="FFFFFF"/>
                <w:sz w:val="26"/>
              </w:rPr>
              <w:t xml:space="preserve">مؤشر المخاطر الرئيسي  </w:t>
            </w:r>
            <w:r>
              <w:rPr>
                <w:rFonts w:ascii="Carlito" w:hAnsi="Carlito" w:cs="Amiri" w:eastAsia="Amiri"/>
                <w:b w:val="0"/>
                <w:i/>
                <w:color w:val="E8D9A0"/>
                <w:sz w:val="22"/>
              </w:rPr>
              <w:t>(Key Risk Indicator (KRI))</w:t>
            </w:r>
          </w:p>
          <w:p>
            <w:pPr>
              <w:bidi/>
              <w:spacing w:before="120" w:line="312" w:lineRule="auto"/>
            </w:pPr>
            <w:r>
              <w:rPr>
                <w:rFonts w:ascii="Carlito" w:hAnsi="Carlito" w:cs="Amiri" w:eastAsia="Amiri"/>
                <w:b w:val="0"/>
                <w:i w:val="0"/>
                <w:color w:val="FFFFFF"/>
                <w:sz w:val="21"/>
              </w:rPr>
              <w:t>مقياس كمي محدد يُستخدم للإنذار المبكر بتصاعد احتمالية أو حجم أثر مخاطرة معينة قبل أن تتحقق فعليًا وتتحول لمشكلة كبرى.</w:t>
            </w:r>
          </w:p>
          <w:p>
            <w:pPr>
              <w:bidi/>
              <w:spacing w:before="120"/>
            </w:pPr>
            <w:r>
              <w:rPr>
                <w:rFonts w:ascii="Carlito" w:hAnsi="Carlito" w:cs="Amiri" w:eastAsia="Amiri"/>
                <w:b/>
                <w:i w:val="0"/>
                <w:color w:val="E8D9A0"/>
                <w:sz w:val="19"/>
              </w:rPr>
              <w:t xml:space="preserve">في الممارسة: </w:t>
            </w:r>
            <w:r>
              <w:rPr>
                <w:rFonts w:ascii="Carlito" w:hAnsi="Carlito" w:cs="Amiri" w:eastAsia="Amiri"/>
                <w:b w:val="0"/>
                <w:i/>
                <w:color w:val="E8D9A0"/>
                <w:sz w:val="19"/>
              </w:rPr>
              <w:t>ارتفاع معدل دوران الموظفين في قسم حساس (كالمشتريات أو المالية) بشكل ملحوظ قد يكون مؤشر مخاطر رئيسي مبكر على تدهور بيئة الرقابة الداخلية فيه، لا مجرد مسألة موارد بشرية معزولة.</w:t>
            </w:r>
          </w:p>
        </w:tc>
      </w:tr>
    </w:tbl>
    <w:p>
      <w:pPr>
        <w:spacing w:after="160"/>
      </w:pPr>
    </w:p>
    <w:p>
      <w:pPr>
        <w:bidi/>
      </w:pPr>
      <w:r>
        <w:rPr>
          <w:rFonts w:ascii="Carlito" w:hAnsi="Carlito" w:cs="Amiri" w:eastAsia="Amiri"/>
          <w:b/>
          <w:i w:val="0"/>
          <w:color w:val="13294B"/>
          <w:sz w:val="26"/>
        </w:rPr>
        <w:t>📌 أبرز التطورات حسب المجال</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التدقيق الداخلي  </w:t>
            </w:r>
            <w:r>
              <w:rPr>
                <w:rFonts w:ascii="Carlito" w:hAnsi="Carlito" w:cs="Amiri" w:eastAsia="Amiri"/>
                <w:b/>
                <w:i w:val="0"/>
                <w:color w:val="E8D9A0"/>
                <w:sz w:val="20"/>
              </w:rPr>
              <w:t xml:space="preserve"> 🟠 [تقنية التدقيق | عالٍ]</w:t>
            </w:r>
          </w:p>
          <w:p>
            <w:pPr>
              <w:spacing w:before="40"/>
              <w:jc w:val="right"/>
              <w:bidi/>
            </w:pPr>
            <w:r>
              <w:rPr>
                <w:rFonts w:ascii="Carlito" w:hAnsi="Carlito" w:cs="Amiri" w:eastAsia="Amiri"/>
                <w:b w:val="0"/>
                <w:i/>
                <w:color w:val="E8D9A0"/>
                <w:sz w:val="17"/>
              </w:rPr>
              <w:t>🎓 المهارة المكتسبة: تحليل البيانات باستخدام الذكاء الاصطناعي</w:t>
            </w:r>
          </w:p>
        </w:tc>
      </w:tr>
    </w:tbl>
    <w:p>
      <w:pPr>
        <w:bidi/>
        <w:spacing w:before="80"/>
      </w:pPr>
      <w:r>
        <w:rPr>
          <w:rFonts w:ascii="Carlito" w:hAnsi="Carlito" w:cs="Amiri" w:eastAsia="Amiri"/>
          <w:b/>
          <w:i w:val="0"/>
          <w:color w:val="13294B"/>
          <w:sz w:val="24"/>
        </w:rPr>
        <w:t>تدقيق الذكاء الاصطناعي</w:t>
      </w:r>
    </w:p>
    <w:p>
      <w:pPr>
        <w:bidi/>
        <w:spacing w:line="312" w:lineRule="auto" w:after="120"/>
      </w:pPr>
      <w:r>
        <w:rPr>
          <w:rFonts w:ascii="Carlito" w:hAnsi="Carlito" w:cs="Amiri" w:eastAsia="Amiri"/>
          <w:b w:val="0"/>
          <w:i w:val="0"/>
          <w:color w:val="1C2430"/>
          <w:sz w:val="22"/>
        </w:rPr>
        <w:t>التدقيق الداخلي يبدأ في استخدام الذكاء الاصطناعي لتحليل البيانات وتحديد المخاطر بشكل أكثر كفاءة.</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B554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يمكن أن يزيد من دقة التدقيق ويعزز من فاعلية المراقبة.</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تعلم كيفية استخدام أدوات الذكاء الاصطناعي في التدقيق.</w:t>
            </w:r>
          </w:p>
          <w:p>
            <w:pPr>
              <w:bidi/>
              <w:spacing w:before="80"/>
            </w:pPr>
            <w:r>
              <w:rPr>
                <w:rFonts w:ascii="Carlito" w:hAnsi="Carlito" w:cs="Amiri" w:eastAsia="Amiri"/>
                <w:b/>
                <w:i w:val="0"/>
                <w:color w:val="5B6472"/>
                <w:sz w:val="19"/>
              </w:rPr>
              <w:t xml:space="preserve">المصدر: </w:t>
            </w:r>
            <w:hyperlink r:id="rId12">
              <w:r>
                <w:rPr>
                  <w:rFonts w:ascii="Carlito" w:hAnsi="Carlito" w:cs="Amiri" w:eastAsia="Amiri"/>
                  <w:sz w:val="19"/>
                  <w:u w:val="single"/>
                  <w:color w:val="C9A227"/>
                </w:rPr>
                <w:t>Wolters Kluwer</w:t>
              </w:r>
            </w:hyperlink>
          </w:p>
        </w:tc>
      </w:tr>
    </w:tbl>
    <w:p>
      <w:pPr>
        <w:spacing w:after="200"/>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الحوكمة  </w:t>
            </w:r>
            <w:r>
              <w:rPr>
                <w:rFonts w:ascii="Carlito" w:hAnsi="Carlito" w:cs="Amiri" w:eastAsia="Amiri"/>
                <w:b/>
                <w:i w:val="0"/>
                <w:color w:val="E8D9A0"/>
                <w:sz w:val="20"/>
              </w:rPr>
              <w:t xml:space="preserve"> 🟡 [نموذج GRC | متوسط]</w:t>
            </w:r>
          </w:p>
          <w:p>
            <w:pPr>
              <w:spacing w:before="40"/>
              <w:jc w:val="right"/>
              <w:bidi/>
            </w:pPr>
            <w:r>
              <w:rPr>
                <w:rFonts w:ascii="Carlito" w:hAnsi="Carlito" w:cs="Amiri" w:eastAsia="Amiri"/>
                <w:b w:val="0"/>
                <w:i/>
                <w:color w:val="E8D9A0"/>
                <w:sz w:val="17"/>
              </w:rPr>
              <w:t>🎓 المهارة المكتسبة: فهم إطار GRC</w:t>
            </w:r>
          </w:p>
        </w:tc>
      </w:tr>
    </w:tbl>
    <w:p>
      <w:pPr>
        <w:bidi/>
        <w:spacing w:before="80"/>
      </w:pPr>
      <w:r>
        <w:rPr>
          <w:rFonts w:ascii="Carlito" w:hAnsi="Carlito" w:cs="Amiri" w:eastAsia="Amiri"/>
          <w:b/>
          <w:i w:val="0"/>
          <w:color w:val="13294B"/>
          <w:sz w:val="24"/>
        </w:rPr>
        <w:t>نموذج قدرات الحوكمة والمخاطر والامتثال™ 3.5</w:t>
      </w:r>
    </w:p>
    <w:p>
      <w:pPr>
        <w:bidi/>
        <w:spacing w:line="312" w:lineRule="auto" w:after="120"/>
      </w:pPr>
      <w:r>
        <w:rPr>
          <w:rFonts w:ascii="Carlito" w:hAnsi="Carlito" w:cs="Amiri" w:eastAsia="Amiri"/>
          <w:b w:val="0"/>
          <w:i w:val="0"/>
          <w:color w:val="1C2430"/>
          <w:sz w:val="22"/>
        </w:rPr>
        <w:t>OCEG يقدم تحديثًا جديدًا لنموذج GRC يركز على الحوكمة الرشيدة.</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8A6D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يقدم إطارًا شاملاً لإدارة المخاطر والامتثال.</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دراسة النموذج الجديد ودمجه في عملياتك.</w:t>
            </w:r>
          </w:p>
          <w:p>
            <w:pPr>
              <w:bidi/>
              <w:spacing w:before="80"/>
            </w:pPr>
            <w:r>
              <w:rPr>
                <w:rFonts w:ascii="Carlito" w:hAnsi="Carlito" w:cs="Amiri" w:eastAsia="Amiri"/>
                <w:b/>
                <w:i w:val="0"/>
                <w:color w:val="5B6472"/>
                <w:sz w:val="19"/>
              </w:rPr>
              <w:t xml:space="preserve">المصدر: </w:t>
            </w:r>
            <w:hyperlink r:id="rId13">
              <w:r>
                <w:rPr>
                  <w:rFonts w:ascii="Carlito" w:hAnsi="Carlito" w:cs="Amiri" w:eastAsia="Amiri"/>
                  <w:sz w:val="19"/>
                  <w:u w:val="single"/>
                  <w:color w:val="C9A227"/>
                </w:rPr>
                <w:t>OCEG</w:t>
              </w:r>
            </w:hyperlink>
          </w:p>
        </w:tc>
      </w:tr>
    </w:tbl>
    <w:p>
      <w:pPr>
        <w:spacing w:after="200"/>
      </w:pPr>
    </w:p>
    <w:p>
      <w:pPr>
        <w:bidi/>
      </w:pPr>
      <w:r>
        <w:rPr>
          <w:rFonts w:ascii="Carlito" w:hAnsi="Carlito" w:cs="Amiri" w:eastAsia="Amiri"/>
          <w:b/>
          <w:i w:val="0"/>
          <w:color w:val="13294B"/>
          <w:sz w:val="26"/>
        </w:rPr>
        <w:t>🧭 مقترحات لمهام تدقيق</w:t>
      </w:r>
    </w:p>
    <w:p>
      <w:pPr>
        <w:bidi/>
        <w:spacing w:after="120"/>
      </w:pPr>
      <w:r>
        <w:rPr>
          <w:rFonts w:ascii="Carlito" w:hAnsi="Carlito" w:cs="Amiri" w:eastAsia="Amiri"/>
          <w:b w:val="0"/>
          <w:i/>
          <w:color w:val="5B6472"/>
          <w:sz w:val="19"/>
        </w:rPr>
        <w:t>أفكار جاهزة لخطة عملكم القادمة — عناصر أساسية، لا مجرد عناوين</w:t>
      </w: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حوكمة مشاريع التحول الرقمي والتقني الكبرى</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التأكد من أن مشاريع التحول التقني الكبرى تُدار بحوكمة تتناسب مع حجم استثمارها ومخاطرها، لا كمشروع تقني معزول عن الإدارة العليا.</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يوجد راعٍ تنفيذي (Executive Sponsor) واضح للمشروع من خارج قسم تكنولوجيا المعلومات نفسه؟</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تُدار التغييرات على نطاق المشروع (Scope Creep) بعد بدء التنفيذ، وهل تخضع لموافقة رسمية موثقة؟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هناك خطة لإدارة التغيير التنظيمي (تدريب المستخدمين، تعديل العمليات) موازية للجانب التقني البحت، أم أن التركيز على التقنية فقط؟</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تُقاس "نجاح" المشروع فعليًا بعد الإطلاق — بمعايير تقنية فقط (النظام يعمل) أم بمعايير أثر تشغيلي حقيقي؟</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مشروع تقني ضخم بلا راعٍ تنفيذي واضح من خارج قسم التقنية، أو نطاق يتوسع بشكل متكرر دون أي موافقة رسمية موثقة على كل توسعة.</w:t>
            </w:r>
          </w:p>
        </w:tc>
      </w:tr>
    </w:tbl>
    <w:p>
      <w:pPr>
        <w:spacing w:after="120"/>
      </w:pP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نموذج قياس رضا العملاء أو المستفيدين الداخليين</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التحقق من أن أدوات قياس الرضا (استبيانات، مؤشرات) تعكس تجربة حقيقية للمستفيد لا نتائج منحازة بفعل طريقة الجمع أو التحليل.</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من يُصمِّم أسئلة الاستبيان، وهل تُراجَع صياغتها لتجنب أسئلة موجِّهة نحو إجابة معينة؟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ما معدل الاستجابة الفعلي للاستبيانات، وهل يكفي إحصائيًا لتعميم النتيجة؟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نتائج الرضا المنخفض تُتابَع فعليًا بخطة تحسين موثقة، أم تُعرَض فقط في تقرير سنوي دون أثر عملي؟</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هناك قناة لالتقاط الشكاوى الفعلية (لا فقط الاستبيانات الدورية)، وهل تُحلَّل مع نتائج الرضا معًا؟</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معدل استجابة منخفض جدًا (أقل من 15-20%) يُستخدَم لتعميم نتيجة "رضا عام مرتفع"، أو نتائج رضا ثابتة بشكل غير طبيعي لسنوات متتالية دون أي تغيّر.</w:t>
            </w:r>
          </w:p>
        </w:tc>
      </w:tr>
    </w:tbl>
    <w:p>
      <w:pPr>
        <w:spacing w:after="120"/>
      </w:pPr>
    </w:p>
    <w:p>
      <w:pPr>
        <w:bidi/>
      </w:pPr>
      <w:r>
        <w:rPr>
          <w:rFonts w:ascii="Carlito" w:hAnsi="Carlito" w:cs="Amiri" w:eastAsia="Amiri"/>
          <w:b/>
          <w:i w:val="0"/>
          <w:color w:val="13294B"/>
          <w:sz w:val="26"/>
        </w:rPr>
        <w:t>🌱 مسار الاحتراف — كيف يفكّر الكبار</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right w:val="single" w:sz="20" w:space="0" w:color="13294B"/>
            </w:tcBorders>
            <w:tcBorders>
              <w:top w:val="single" w:sz="4" w:space="0" w:color="D8D2C2"/>
              <w:bottom w:val="single" w:sz="4" w:space="0" w:color="D8D2C2"/>
              <w:left w:val="single" w:sz="4" w:space="0" w:color="D8D2C2"/>
            </w:tcBorders>
          </w:tcPr>
          <w:p>
            <w:pPr>
              <w:bidi/>
              <w:spacing w:line="312" w:lineRule="auto"/>
            </w:pPr>
            <w:r>
              <w:rPr>
                <w:rFonts w:ascii="Carlito" w:hAnsi="Carlito" w:cs="Amiri" w:eastAsia="Amiri"/>
                <w:b w:val="0"/>
                <w:i w:val="0"/>
                <w:color w:val="1C2430"/>
                <w:sz w:val="22"/>
              </w:rPr>
              <w:t>التشكك المهني بلباقة (Professional Skepticism with Tact) — طرح الأسئلة الصعبة دون أن تتحول العلاقة مع الوحدة المدقَّقة إلى خصومة شخصية — هو جوهر مهنة التدقيق بأكملها. مدقق بلا شك مهني يصدق كل تفسير يُقدَّم له؛ مدقق بلا لباقة يخلق مقاومة تمنعه من الوصول للحقيقة أصلاً.</w:t>
            </w:r>
          </w:p>
          <w:p>
            <w:pPr>
              <w:bidi/>
              <w:spacing w:before="100"/>
            </w:pPr>
            <w:r>
              <w:rPr>
                <w:rFonts w:ascii="Carlito" w:hAnsi="Carlito" w:cs="Amiri" w:eastAsia="Amiri"/>
                <w:b/>
                <w:i w:val="0"/>
                <w:color w:val="13294B"/>
                <w:sz w:val="20"/>
              </w:rPr>
              <w:t xml:space="preserve">كيف تطبّقها هذا الأسبوع: </w:t>
            </w:r>
            <w:r>
              <w:rPr>
                <w:rFonts w:ascii="Carlito" w:hAnsi="Carlito" w:cs="Amiri" w:eastAsia="Amiri"/>
                <w:b w:val="0"/>
                <w:i/>
                <w:color w:val="5B6472"/>
                <w:sz w:val="20"/>
              </w:rPr>
              <w:t>تدرّب على صياغة سؤالك الحرج كـ"ساعدني أفهم كيف..." أو "ما الذي يفسر..." بدل "لماذا فعلتم..." الذي يبدو كاتهام مباشر — النتيجة نفس المعلومة المطلوبة بمقاومة أقل بكثير من الطرف الآخر.</w:t>
            </w:r>
          </w:p>
        </w:tc>
      </w:tr>
    </w:tbl>
    <w:p>
      <w:pPr>
        <w:spacing w:after="120"/>
      </w:pPr>
    </w:p>
    <w:p>
      <w:pPr>
        <w:bidi/>
      </w:pPr>
      <w:r>
        <w:rPr>
          <w:rFonts w:ascii="Carlito" w:hAnsi="Carlito" w:cs="Amiri" w:eastAsia="Amiri"/>
          <w:b/>
          <w:i w:val="0"/>
          <w:color w:val="13294B"/>
          <w:sz w:val="26"/>
        </w:rPr>
        <w:t>⚖️ لحظة توازن</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200" w:type="dxa"/>
              <w:right w:w="200" w:type="dxa"/>
            </w:tcMar>
          </w:tcPr>
          <w:p>
            <w:pPr>
              <w:bidi/>
              <w:spacing w:line="312" w:lineRule="auto"/>
            </w:pPr>
            <w:r>
              <w:rPr>
                <w:rFonts w:ascii="Carlito" w:hAnsi="Carlito" w:cs="Amiri" w:eastAsia="Amiri"/>
                <w:b w:val="0"/>
                <w:i/>
                <w:color w:val="1C2430"/>
                <w:sz w:val="21"/>
              </w:rPr>
              <w:t>النوم الكافي (7-8 ساعات) ليس رفاهية شخصية بل استثمار مباشر في جودة أحكامك المهنية وقدرتك على ملاحظة التفاصيل الدقيقة؛ القرارات المتخذة في حالة إرهاق متراكم أكثر عرضة لتجاهل تفاصيل حرجة كانت لتُلاحَظ بذهن مرتاح.</w:t>
            </w:r>
          </w:p>
        </w:tc>
      </w:tr>
    </w:tbl>
    <w:p>
      <w:pPr>
        <w:spacing w:after="160"/>
      </w:pPr>
    </w:p>
    <w:p>
      <w:pPr>
        <w:bidi/>
      </w:pPr>
      <w:r>
        <w:rPr>
          <w:rFonts w:ascii="Carlito" w:hAnsi="Carlito" w:cs="Amiri" w:eastAsia="Amiri"/>
          <w:b/>
          <w:i w:val="0"/>
          <w:color w:val="13294B"/>
          <w:sz w:val="26"/>
        </w:rPr>
        <w:t>📚 للقراءة هذا الأسبوع</w:t>
      </w:r>
    </w:p>
    <w:p>
      <w:pPr>
        <w:bidi/>
        <w:spacing w:after="80"/>
      </w:pPr>
      <w:r>
        <w:rPr>
          <w:rFonts w:ascii="Carlito" w:hAnsi="Carlito" w:cs="Amiri" w:eastAsia="Amiri"/>
          <w:b w:val="0"/>
          <w:i w:val="0"/>
          <w:color w:val="5B6472"/>
          <w:sz w:val="21"/>
        </w:rPr>
        <w:t xml:space="preserve">• مقال — </w:t>
      </w:r>
      <w:hyperlink r:id="rId12">
        <w:r>
          <w:rPr>
            <w:rFonts w:ascii="Carlito" w:hAnsi="Carlito" w:cs="Amiri" w:eastAsia="Amiri"/>
            <w:sz w:val="21"/>
            <w:b/>
            <w:u w:val="single"/>
            <w:color w:val="C9A227"/>
          </w:rPr>
          <w:t>Audit technology trends: AI, cloud, and agentic workflows</w:t>
        </w:r>
      </w:hyperlink>
      <w:r>
        <w:rPr>
          <w:rFonts w:ascii="Carlito" w:hAnsi="Carlito" w:cs="Amiri" w:eastAsia="Amiri"/>
          <w:b w:val="0"/>
          <w:i w:val="0"/>
          <w:color w:val="5B6472"/>
          <w:sz w:val="19"/>
        </w:rPr>
        <w:t xml:space="preserve">  (Wolters Kluwer)</w:t>
      </w:r>
    </w:p>
    <w:p>
      <w:pPr>
        <w:bidi/>
        <w:spacing w:after="80"/>
      </w:pPr>
      <w:r>
        <w:rPr>
          <w:rFonts w:ascii="Carlito" w:hAnsi="Carlito" w:cs="Amiri" w:eastAsia="Amiri"/>
          <w:b w:val="0"/>
          <w:i w:val="0"/>
          <w:color w:val="5B6472"/>
          <w:sz w:val="21"/>
        </w:rPr>
        <w:t xml:space="preserve">• تقرير — </w:t>
      </w:r>
      <w:hyperlink r:id="rId14">
        <w:r>
          <w:rPr>
            <w:rFonts w:ascii="Carlito" w:hAnsi="Carlito" w:cs="Amiri" w:eastAsia="Amiri"/>
            <w:sz w:val="21"/>
            <w:b/>
            <w:u w:val="single"/>
            <w:color w:val="C9A227"/>
          </w:rPr>
          <w:t>Fundamentals of GRC: The Connected Roles of Internal Audit and Compliance</w:t>
        </w:r>
      </w:hyperlink>
      <w:r>
        <w:rPr>
          <w:rFonts w:ascii="Carlito" w:hAnsi="Carlito" w:cs="Amiri" w:eastAsia="Amiri"/>
          <w:b w:val="0"/>
          <w:i w:val="0"/>
          <w:color w:val="5B6472"/>
          <w:sz w:val="19"/>
        </w:rPr>
        <w:t xml:space="preserve">  (OCEG)</w:t>
      </w:r>
    </w:p>
    <w:p>
      <w:pPr>
        <w:bidi/>
        <w:spacing w:after="80"/>
      </w:pPr>
      <w:r>
        <w:rPr>
          <w:rFonts w:ascii="Carlito" w:hAnsi="Carlito" w:cs="Amiri" w:eastAsia="Amiri"/>
          <w:b w:val="0"/>
          <w:i w:val="0"/>
          <w:color w:val="5B6472"/>
          <w:sz w:val="21"/>
        </w:rPr>
        <w:t xml:space="preserve">• دراسة — </w:t>
      </w:r>
      <w:hyperlink r:id="rId15">
        <w:r>
          <w:rPr>
            <w:rFonts w:ascii="Carlito" w:hAnsi="Carlito" w:cs="Amiri" w:eastAsia="Amiri"/>
            <w:sz w:val="21"/>
            <w:b/>
            <w:u w:val="single"/>
            <w:color w:val="C9A227"/>
          </w:rPr>
          <w:t>Model for the Audit of Sustainable Development Goals (SDGs)</w:t>
        </w:r>
      </w:hyperlink>
      <w:r>
        <w:rPr>
          <w:rFonts w:ascii="Carlito" w:hAnsi="Carlito" w:cs="Amiri" w:eastAsia="Amiri"/>
          <w:b w:val="0"/>
          <w:i w:val="0"/>
          <w:color w:val="5B6472"/>
          <w:sz w:val="19"/>
        </w:rPr>
        <w:t xml:space="preserve">  (INTOSAI)</w:t>
      </w:r>
    </w:p>
    <w:p>
      <w:pPr>
        <w:spacing w:before="160" w:after="120"/>
        <w:pBdr>
          <w:bottom w:val="single" w:sz="8" w:space="1" w:color="C9A227"/>
        </w:pBdr>
      </w:pPr>
    </w:p>
    <w:p>
      <w:pPr>
        <w:bidi/>
      </w:pPr>
      <w:r>
        <w:rPr>
          <w:rFonts w:ascii="Carlito" w:hAnsi="Carlito" w:cs="Amiri" w:eastAsia="Amiri"/>
          <w:b/>
          <w:i w:val="0"/>
          <w:color w:val="13294B"/>
          <w:sz w:val="22"/>
        </w:rPr>
        <w:t xml:space="preserve">📕 كتاب الأسبوع: </w:t>
      </w:r>
      <w:r>
        <w:rPr>
          <w:rFonts w:ascii="Carlito" w:hAnsi="Carlito" w:cs="Amiri" w:eastAsia="Amiri"/>
          <w:b/>
          <w:i w:val="0"/>
          <w:color w:val="1C2430"/>
          <w:sz w:val="22"/>
        </w:rPr>
        <w:t>The Balanced Scorecard — Robert S. Kaplan &amp; David P. Norton</w:t>
      </w:r>
    </w:p>
    <w:p>
      <w:pPr>
        <w:bidi/>
      </w:pPr>
      <w:r>
        <w:rPr>
          <w:rFonts w:ascii="Carlito" w:hAnsi="Carlito" w:cs="Amiri" w:eastAsia="Amiri"/>
          <w:b w:val="0"/>
          <w:i/>
          <w:color w:val="5B6472"/>
          <w:sz w:val="21"/>
        </w:rPr>
        <w:t>الكتاب المؤسس لأداة قياس الأداء الأكثر انتشارًا عالميًا، وضروري لفهم كيف تُقاس المؤسسات بأبعاد تتجاوز المالية وحدها.</w:t>
      </w:r>
    </w:p>
    <w:p>
      <w:pPr>
        <w:bidi/>
        <w:spacing w:before="80"/>
      </w:pPr>
      <w:r>
        <w:rPr>
          <w:rFonts w:ascii="Carlito" w:hAnsi="Carlito" w:cs="Amiri" w:eastAsia="Amiri"/>
          <w:b/>
          <w:i w:val="0"/>
          <w:color w:val="13294B"/>
          <w:sz w:val="20"/>
        </w:rPr>
        <w:t xml:space="preserve">💡 طبّقه هذا الأسبوع: </w:t>
      </w:r>
      <w:r>
        <w:rPr>
          <w:rFonts w:ascii="Carlito" w:hAnsi="Carlito" w:cs="Amiri" w:eastAsia="Amiri"/>
          <w:b w:val="0"/>
          <w:i w:val="0"/>
          <w:color w:val="1C2430"/>
          <w:sz w:val="20"/>
        </w:rPr>
        <w:t>في مهمتكم القادمة، اسألوا الوحدة المدقَّقة عن مؤشراتها في الأبعاد الأربعة (مالي، عملاء، عمليات، تعلّم ونمو) — غياب أحدها بحد ذاته ملاحظة.</w:t>
      </w:r>
    </w:p>
    <w:p>
      <w:pPr>
        <w:spacing w:after="16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Carlito" w:hAnsi="Carlito" w:cs="Amiri" w:eastAsia="Amiri"/>
        <w:b w:val="0"/>
        <w:i w:val="0"/>
        <w:color w:val="5B6472"/>
        <w:sz w:val="16"/>
      </w:rPr>
      <w:t xml:space="preserve">النشرة الأسبوعية للحوكمة والتدقيق — سري وللاستخدام الداخلي فقط  |  </w:t>
    </w:r>
    <w:r>
      <w:rPr>
        <w:rFonts w:ascii="Carlito" w:hAnsi="Carlito" w:cs="Amiri" w:eastAsia="Amiri"/>
        <w:b w:val="0"/>
        <w:i w:val="0"/>
        <w:color w:val="5B64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tosai.org/ar/%D8%A7%D9%84%D8%AA%D8%B8%D8%A7%D9%87%D8%B1%D8%A7%D8%AA/%D8%A7%D9%84%D8%AA%D9%81%D8%A7%D8%B5%D9%8A%D9%84/sdgs-audit-model-isam.html" TargetMode="External"/><Relationship Id="rId11" Type="http://schemas.openxmlformats.org/officeDocument/2006/relationships/hyperlink" Target="https://www.theiia.org/globalassets/documents/resources/the-internal-audit-charter-a-blueprint-to-assurance-success-august-2019/pp-the-internal-audit-charter-arabic.pdf" TargetMode="External"/><Relationship Id="rId12" Type="http://schemas.openxmlformats.org/officeDocument/2006/relationships/hyperlink" Target="https://www.wolterskluwer.com/en/expert-insights/next-generation-audit-technology" TargetMode="External"/><Relationship Id="rId13" Type="http://schemas.openxmlformats.org/officeDocument/2006/relationships/hyperlink" Target="https://www.oceg.org/grc-capability-model-arabic-version" TargetMode="External"/><Relationship Id="rId14" Type="http://schemas.openxmlformats.org/officeDocument/2006/relationships/hyperlink" Target="https://www.oceg.org/recording-fundamentals-of-grc-the-connected-roles-of-internal-audit-and-compliance" TargetMode="External"/><Relationship Id="rId15" Type="http://schemas.openxmlformats.org/officeDocument/2006/relationships/hyperlink" Target="http://intosai.org/ar/%D8%A7%D9%84%D8%AA%D8%B8%D8%A7%D9%87%D8%B1%D8%A7%D8%AA/%D8%A7%D9%84%D8%AA%D9%81%D8%A7%D8%B5%D9%8A%D9%84/sdgs-audit-model-is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