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4  •  2026-08-31</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تحديثات في التدقيق الداخلي والتكنولوجيا الحديثة</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التكنولوجيا الحديثة مثل الذكاء الاصطناعي تؤثر على التدقيق الداخلي وتدقيق الأداء، مما يتطلب من المدققين الداخليين تحديث مهاراتهم وتطوير استراتيجيات جديدة للتكيف مع هذه التطورات.</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التدقيق الداخلي: التركيز على cybersecurity governance وremote auditing challenges.</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تدقيق الأداء: إصدار إطار عمل جديدي لتدقيق المناخ المتعلق بالتغيرات البيئية.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تدقيق الالتزام: استخدام الذكاء الاصطناعي لتحسين إدارة المخاطر والامتثال.</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75%</w:t>
            </w:r>
          </w:p>
          <w:p>
            <w:pPr>
              <w:bidi/>
              <w:spacing w:before="120" w:line="312" w:lineRule="auto"/>
            </w:pPr>
            <w:r>
              <w:rPr>
                <w:rFonts w:ascii="Carlito" w:hAnsi="Carlito" w:cs="Amiri" w:eastAsia="Amiri"/>
                <w:b w:val="0"/>
                <w:i w:val="0"/>
                <w:color w:val="1C2430"/>
                <w:sz w:val="22"/>
              </w:rPr>
              <w:t>زيادة بنسبة 75% في استخدام الذكاء الاصطناعي في تدقيق الأداء خلال السنة الماضية.</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OCEG</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Proposed Revisions to ISA 330, ISA 500, and ISA 520</w:t>
            </w:r>
            <w:r>
              <w:rPr>
                <w:rFonts w:ascii="Carlito" w:hAnsi="Carlito" w:cs="Amiri" w:eastAsia="Amiri"/>
                <w:b/>
                <w:i w:val="0"/>
                <w:color w:val="8A6D1A"/>
                <w:sz w:val="19"/>
              </w:rPr>
              <w:t xml:space="preserve">  [IAASB | مسودة للتعليق]</w:t>
            </w:r>
          </w:p>
          <w:p>
            <w:pPr>
              <w:bidi/>
              <w:spacing w:before="60"/>
            </w:pPr>
            <w:r>
              <w:rPr>
                <w:rFonts w:ascii="Carlito" w:hAnsi="Carlito" w:cs="Amiri" w:eastAsia="Amiri"/>
                <w:b w:val="0"/>
                <w:i/>
                <w:color w:val="5B6472"/>
                <w:sz w:val="18"/>
              </w:rPr>
              <w:t>الإصدار: August 5, 2026  |  آخر أجل للتعليق: November 16, 2026</w:t>
            </w:r>
          </w:p>
          <w:p>
            <w:pPr>
              <w:bidi/>
              <w:spacing w:before="120" w:line="312" w:lineRule="auto"/>
            </w:pPr>
            <w:r>
              <w:rPr>
                <w:rFonts w:ascii="Carlito" w:hAnsi="Carlito" w:cs="Amiri" w:eastAsia="Amiri"/>
                <w:b w:val="0"/>
                <w:i w:val="0"/>
                <w:color w:val="1C2430"/>
                <w:sz w:val="21"/>
              </w:rPr>
              <w:t>تقترح هذه المسودات تعديلات على معايير التدقيق الداخلي لتحسين إدارة المخاطر وتعزيز الضوابط الداخلية.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سيساعد هذه التعديلات على تحسين جودة التدقيق الداخلي وتعزيز الامتثال.</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IAASB</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عناصر الملاحظة الرقابية (الـ 5C)</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الخطأ الأشيع عند المبتدئين في عنصر "السبب": الخلط بين السبب الجذري والعرض الظاهر. "الموظف لم يتّبع الإجراء" عرض، لا سبب — السؤال الحقيقي هو لماذا لم يتّبعه: هل الإجراء غير واضح؟ غير عملي في الواقع اليومي؟ غير مُدرَّب عليه أصلاً؟ غير مُطبَّق من الإدارة نفسها بشكل متسق؟</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"السبب: الموظفون لا يلتزمون بإجراءات الموافقة على المصروفات."</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"السبب: نموذج طلب الموافقة الحالي يتطلب تعبئة 14 حقلاً يدويًا لكل معاملة مهما كانت صغيرة، ما يدفع الموظفين لتجنب استخدامه للمعاملات الصغيرة العاجلة رغم معرفتهم بوجوده."</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الصياغة الأولى تُحمِّل الموظفين المسؤولية الكاملة دون فهم لماذا يتصرفون هكذا فعليًا، وتوصية مبنية عليها ("ذكّروهم بالإجراء") لن تحل شيئًا. الصياغة الثانية تكشف سببًا تصميميًا قابلاً للإصلاح فعليًا (تبسيط النموذج)، لا مجرد تكرار التذكير بإجراء غير عملي أصلاً.</w:t>
            </w:r>
          </w:p>
        </w:tc>
      </w:tr>
    </w:tbl>
    <w:p>
      <w:pPr>
        <w:spacing w:after="160"/>
      </w:pPr>
    </w:p>
    <w:p>
      <w:pPr>
        <w:bidi/>
      </w:pPr>
      <w:r>
        <w:rPr>
          <w:rFonts w:ascii="Carlito" w:hAnsi="Carlito" w:cs="Amiri" w:eastAsia="Amiri"/>
          <w:b/>
          <w:i w:val="0"/>
          <w:color w:val="13294B"/>
          <w:sz w:val="26"/>
        </w:rPr>
        <w:t>🧠 ومضة إدارية — إطار COSO للرقابة الداخلية المتكاملة (COSO Internal Control – Integrated Framework)</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لماذا يحتاج كل مدقق أن يحفظ هذا الإطار من أسبوعه الأول؟ لأنه ببساطة "اللغة" التي يُقاس بها أي نظام رقابة داخلية عالميًا. حين تكتب في تقريرك أن ضابطًا رقابيًا "غير فعال"، فأنت تحكم عليه ضمنًا بمقاييس COSO الخمسة، سواء أدركت ذلك أم لا.</w:t>
            </w:r>
          </w:p>
          <w:p>
            <w:pPr>
              <w:bidi/>
              <w:spacing w:line="312" w:lineRule="auto" w:before="120"/>
            </w:pPr>
            <w:r>
              <w:rPr>
                <w:rFonts w:ascii="Carlito" w:hAnsi="Carlito" w:cs="Amiri" w:eastAsia="Amiri"/>
                <w:b w:val="0"/>
                <w:i w:val="0"/>
                <w:color w:val="1C2430"/>
                <w:sz w:val="22"/>
              </w:rPr>
              <w:t>يقسّم الإطار (1992، وتحديث 2013) أي نظام رقابة سليم إلى خمسة مكونات مترابطة، لا يكفي وجود واحد منها بمعزل عن الباقي: (1) بيئة الرقابة — القيم والنزاهة والأسلوب القيادي الذي يحدد هل يأخذ الناس الرقابة على محمل الجد فعلاً؛ هذا هو الأساس، فحتى أفضل الإجراءات المكتوبة تفشل في بيئة لا تحترم القواعد. (2) تقييم المخاطر — ما الذي قد يمنع تحقيق الأهداف. (3) أنشطة الرقابة — الإجراءات الفعلية: توقيعات مزدوجة، مطابقات، فصل بين المهام. (4) المعلومات والاتصال — هل تصل المعلومة الصحيحة للشخص الصحيح في الوقت المناسب؟ (5) أنشطة المتابعة — هل يراجع أحد أن الرقابة لا تزال تعمل، أم أنها "وُضعت ونُسيت"؟</w:t>
            </w:r>
          </w:p>
          <w:p>
            <w:pPr>
              <w:bidi/>
              <w:spacing w:line="312" w:lineRule="auto" w:before="120"/>
            </w:pPr>
            <w:r>
              <w:rPr>
                <w:rFonts w:ascii="Carlito" w:hAnsi="Carlito" w:cs="Amiri" w:eastAsia="Amiri"/>
                <w:b w:val="0"/>
                <w:i w:val="0"/>
                <w:color w:val="1C2430"/>
                <w:sz w:val="22"/>
              </w:rPr>
              <w:t>مثال: قسم مشتريات وضع سياسة "كل طلب فوق 5000 يحتاج توقيعين" — أنشطة رقابة ممتازة على الورق (مكوّن 3). لكن إن شعر الموظفون أن مديرهم يتجاوزها متى شاء دون مساءلة (بيئة رقابة ضعيفة، مكوّن 1)، فالسياسة عمليًا عديمة الجدوى. الخطأ الشائع عند المبتدئين: الظن أن "وجود سياسة مكتوبة = رقابة فعالة". اسأل دومًا: هل تُطبَّق فعليًا؟ هل يراقبها أحد؟</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عند تقييم أي ضابط رقابي، حدد أولاً أي مكوّن من الخمسة يخدمه، ثم اسأل هل المكونات الأخرى تدعمه أم تُفرغه من مضمونه</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لا تكتفِ بمراجعة السياسة المكتوبة — اطلب دليلاً على أنها طُبِّقت فعليًا في آخر 3 معاملات على الأقل</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بيئة الرقابة الضعيفة لا تظهر في وثيقة؛ تُستكشَف بالملاحظة والمقابلات لا بمراجعة الملفات فقط</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تضارب المصالح  </w:t>
            </w:r>
            <w:r>
              <w:rPr>
                <w:rFonts w:ascii="Carlito" w:hAnsi="Carlito" w:cs="Amiri" w:eastAsia="Amiri"/>
                <w:b w:val="0"/>
                <w:i/>
                <w:color w:val="E8D9A0"/>
                <w:sz w:val="22"/>
              </w:rPr>
              <w:t>(Conflict of Interest)</w:t>
            </w:r>
          </w:p>
          <w:p>
            <w:pPr>
              <w:bidi/>
              <w:spacing w:before="120" w:line="312" w:lineRule="auto"/>
            </w:pPr>
            <w:r>
              <w:rPr>
                <w:rFonts w:ascii="Carlito" w:hAnsi="Carlito" w:cs="Amiri" w:eastAsia="Amiri"/>
                <w:b w:val="0"/>
                <w:i w:val="0"/>
                <w:color w:val="FFFFFF"/>
                <w:sz w:val="21"/>
              </w:rPr>
              <w:t>وضع تتعارض فيه المصلحة الشخصية لفرد (مالية أو عائلية أو غيرها) مع واجبه المهني أو الائتماني تجاه المؤسسة، بما يهدد أو يبدو مهدِّدًا لموضوعية قراراته.</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الإفصاح المبكر والكتابي عن تضارب المصالح المحتمل، لا إخفاؤه أو انتظار اكتشافه من طرف آخر، هو ما يحمي الفرد والمؤسسة معًا مهنيًا وقانونيًا.</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[ملخص | عالٍ]</w:t>
            </w:r>
          </w:p>
          <w:p>
            <w:pPr>
              <w:spacing w:before="40"/>
              <w:jc w:val="right"/>
              <w:bidi/>
            </w:pPr>
            <w:r>
              <w:rPr>
                <w:rFonts w:ascii="Carlito" w:hAnsi="Carlito" w:cs="Amiri" w:eastAsia="Amiri"/>
                <w:b w:val="0"/>
                <w:i/>
                <w:color w:val="E8D9A0"/>
                <w:sz w:val="17"/>
              </w:rPr>
              <w:t>🎓 المهارة المكتسبة: تحليل المخاطر السيبرانية</w:t>
            </w:r>
          </w:p>
        </w:tc>
      </w:tr>
    </w:tbl>
    <w:p>
      <w:pPr>
        <w:bidi/>
        <w:spacing w:before="80"/>
      </w:pPr>
      <w:r>
        <w:rPr>
          <w:rFonts w:ascii="Carlito" w:hAnsi="Carlito" w:cs="Amiri" w:eastAsia="Amiri"/>
          <w:b/>
          <w:i w:val="0"/>
          <w:color w:val="13294B"/>
          <w:sz w:val="24"/>
        </w:rPr>
        <w:t>Cybersecurity Governance and Remote Auditing Challenges</w:t>
      </w:r>
    </w:p>
    <w:p>
      <w:pPr>
        <w:bidi/>
        <w:spacing w:line="312" w:lineRule="auto" w:after="120"/>
      </w:pPr>
      <w:r>
        <w:rPr>
          <w:rFonts w:ascii="Carlito" w:hAnsi="Carlito" w:cs="Amiri" w:eastAsia="Amiri"/>
          <w:b w:val="0"/>
          <w:i w:val="0"/>
          <w:color w:val="1C2430"/>
          <w:sz w:val="22"/>
        </w:rPr>
        <w:t>تتزايد المخاطر المتعلقة بالأمن السيبراني في بيئات العمل عن بعد، مما يتطلب من المدققين الداخليين تحديث استراتيجياتهم وتعزيز إدارة المخاطر.</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زيادة المخاطر السيبرانية يمكن أن تؤدي إلى فقدان البيانات والهجمات السيبرانية، مما يؤثر على استقرار الأعمال.</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وتحديث سياسات الأمان السيبراني، تدريب الموظفين على التعامل مع الهجمات السيبرانية، استخدام أدوات التدقيق الداخلي المتقدمة.</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The Institute of Internal Auditors</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تدقيق الأداء  </w:t>
            </w:r>
            <w:r>
              <w:rPr>
                <w:rFonts w:ascii="Carlito" w:hAnsi="Carlito" w:cs="Amiri" w:eastAsia="Amiri"/>
                <w:b/>
                <w:i w:val="0"/>
                <w:color w:val="E8D9A0"/>
                <w:sz w:val="20"/>
              </w:rPr>
              <w:t xml:space="preserve"> 🟡 [ملخص | متوسط]</w:t>
            </w:r>
          </w:p>
          <w:p>
            <w:pPr>
              <w:spacing w:before="40"/>
              <w:jc w:val="right"/>
              <w:bidi/>
            </w:pPr>
            <w:r>
              <w:rPr>
                <w:rFonts w:ascii="Carlito" w:hAnsi="Carlito" w:cs="Amiri" w:eastAsia="Amiri"/>
                <w:b w:val="0"/>
                <w:i/>
                <w:color w:val="E8D9A0"/>
                <w:sz w:val="17"/>
              </w:rPr>
              <w:t>🎓 المهارة المكتسبة: فهم التغيرات البيئية</w:t>
            </w:r>
          </w:p>
        </w:tc>
      </w:tr>
    </w:tbl>
    <w:p>
      <w:pPr>
        <w:bidi/>
        <w:spacing w:before="80"/>
      </w:pPr>
      <w:r>
        <w:rPr>
          <w:rFonts w:ascii="Carlito" w:hAnsi="Carlito" w:cs="Amiri" w:eastAsia="Amiri"/>
          <w:b/>
          <w:i w:val="0"/>
          <w:color w:val="13294B"/>
          <w:sz w:val="24"/>
        </w:rPr>
        <w:t>Collaborative Climate Change Audits</w:t>
      </w:r>
    </w:p>
    <w:p>
      <w:pPr>
        <w:bidi/>
        <w:spacing w:line="312" w:lineRule="auto" w:after="120"/>
      </w:pPr>
      <w:r>
        <w:rPr>
          <w:rFonts w:ascii="Carlito" w:hAnsi="Carlito" w:cs="Amiri" w:eastAsia="Amiri"/>
          <w:b w:val="0"/>
          <w:i w:val="0"/>
          <w:color w:val="1C2430"/>
          <w:sz w:val="22"/>
        </w:rPr>
        <w:t>تم إصدار إطار عمل جديد لتدقيق المناخ المتعلق بالتغيرات البيئية، مما يتطلب من المدققين الداخليين فهم هذه القضايا وتطبيقها في عملياتهم.</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8A6D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التغيرات البيئية يمكن أن تؤثر على الأداء المالي والعمليات التشغيلية للمنظمات.</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وتطبيق إطار عمل تدقيق المناخ، تدريب الموظفين على هذه القضايا، تحسين إدارة المخاطر المتعلقة بالتغيرات البيئية.</w:t>
            </w:r>
          </w:p>
          <w:p>
            <w:pPr>
              <w:bidi/>
              <w:spacing w:before="80"/>
            </w:pPr>
            <w:r>
              <w:rPr>
                <w:rFonts w:ascii="Carlito" w:hAnsi="Carlito" w:cs="Amiri" w:eastAsia="Amiri"/>
                <w:b/>
                <w:i w:val="0"/>
                <w:color w:val="5B6472"/>
                <w:sz w:val="19"/>
              </w:rPr>
              <w:t xml:space="preserve">المصدر: </w:t>
            </w:r>
            <w:hyperlink r:id="rId13">
              <w:r>
                <w:rPr>
                  <w:rFonts w:ascii="Carlito" w:hAnsi="Carlito" w:cs="Amiri" w:eastAsia="Amiri"/>
                  <w:sz w:val="19"/>
                  <w:u w:val="single"/>
                  <w:color w:val="C9A227"/>
                </w:rPr>
                <w:t>INTOSAI</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دورة حياة المشتريات الاستراتيجية للأنشطة الجوهرية (Core Business)</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عمليات الشراء المرتبطة مباشرة بالنشاط الجوهري للمؤسسة (لا المشتريات الإدارية الروتينية) تخضع لرقابة تناسب حجم أثرها الفعلي.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معايير اختيار الموردين الاستراتيجيين موثقة ومطبَّقة فعليًا في كل قرار شراء كبير، أم تُتَّبع أحيانًا وتُتجاوَز أحيانًا أخرى؟</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مخاطر الاعتماد المفرط على مورّد واحد استراتيجي (Single Source Dependency)؟</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تقييم دوري موثق لأداء الموردين الاستراتيجيين الحاليين، أم يستمر التعامل بالعادة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يوافق فعليًا على تعديلات العقود الكبرى بعد التوقيع، وهل يخضع ذلك لنفس صرامة الموافقة الأولية؟</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اعتماد شبه كامل على مورّد واحد لمدخل جوهري بلا خطة بديلة موثقة، أو تعديلات متكررة على عقود كبرى دون إعادة تقييم رسمية لشروطها الأصلية.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نضج إدارة المخاطر المؤسسية (ERM Maturity Assessment)</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تقييم ما إذا كانت ممارسة إدارة المخاطر في المؤسسة قد تجاوزت مرحلة "سجل مخاطر يُحدَّث سنويًا للامتثال" إلى مرحلة أداة قرار فعلية مندمجة في العمل اليومي.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متى آخر مرة نوقش سجل المخاطر فعليًا في اجتماع لصناعة قرار استراتيجي، لا فقط للتحديث الدوري الشكلي؟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شهية المخاطرة معتمدة رسميًا من المجلس، وهل تُستخدَم فعليًا كمرجع في قرارات المخاطرة اليومية؟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أصحاب المخاطر (Risk Owners) المُسمَّون في السجل يعرفون فعلاً أنهم مسؤولون عنها، أم أن التسمية شكلية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المخاطر الناشئة (Emerging Risks) التي لم تكن موجودة وقت آخر تحديث للسجل؟</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سجل مخاطر لم يتغير محتواه الجوهري منذ أكثر من سنة رغم تغيّرات واضحة في بيئة العمل، أو مخاطر مُصنَّفة "مرتفعة" بلا أي خطة استجابة موثقة أو موعد متابعة محدد.</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الحضور التنفيذي (Executive Presence) يُقاس بالوضوح والإيجاز والثقة الهادئة عند عرض موضوع معقد أمام مسؤولين أعلى، لا بحجم الكلام أو كثرة التفاصيل التقنية التي قد تُغرق المستمع بدل أن تقنعه.</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تدرّب على تلخيص أي موضوع معقد تعمل عليه في 60 ثانية بالضبط قبل عرضه على مسؤول أعلى — إن لم تستطع تلخيصه بوضوح في دقيقة، فأنت لم تفهمه بعمق كافٍ بعد لتشرحه لغيرك.</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التعرف المبكر على علامات الإرهاق الوظيفي (فقدان الحافز التدريجي، التهكم المستمر تجاه العمل، صعوبة التركيز التي لم تكن موجودة سابقًا) والتحدث عنها بصراحة مع مديرك المباشر أو قسم الموارد البشرية أفضل بكثير من تجاهلها حتى تتراكم وتصبح أزمة أصعب في المعالجة.</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تقرير — </w:t>
      </w:r>
      <w:hyperlink r:id="rId14">
        <w:r>
          <w:rPr>
            <w:rFonts w:ascii="Carlito" w:hAnsi="Carlito" w:cs="Amiri" w:eastAsia="Amiri"/>
            <w:sz w:val="21"/>
            <w:b/>
            <w:u w:val="single"/>
            <w:color w:val="C9A227"/>
          </w:rPr>
          <w:t>Internal Audit Risk Assessment</w:t>
        </w:r>
      </w:hyperlink>
      <w:r>
        <w:rPr>
          <w:rFonts w:ascii="Carlito" w:hAnsi="Carlito" w:cs="Amiri" w:eastAsia="Amiri"/>
          <w:b w:val="0"/>
          <w:i w:val="0"/>
          <w:color w:val="5B6472"/>
          <w:sz w:val="19"/>
        </w:rPr>
        <w:t xml:space="preserve">  (PwC)</w:t>
      </w:r>
    </w:p>
    <w:p>
      <w:pPr>
        <w:bidi/>
        <w:spacing w:after="80"/>
      </w:pPr>
      <w:r>
        <w:rPr>
          <w:rFonts w:ascii="Carlito" w:hAnsi="Carlito" w:cs="Amiri" w:eastAsia="Amiri"/>
          <w:b w:val="0"/>
          <w:i w:val="0"/>
          <w:color w:val="5B6472"/>
          <w:sz w:val="21"/>
        </w:rPr>
        <w:t xml:space="preserve">• تقرير — </w:t>
      </w:r>
      <w:hyperlink r:id="rId11">
        <w:r>
          <w:rPr>
            <w:rFonts w:ascii="Carlito" w:hAnsi="Carlito" w:cs="Amiri" w:eastAsia="Amiri"/>
            <w:sz w:val="21"/>
            <w:b/>
            <w:u w:val="single"/>
            <w:color w:val="C9A227"/>
          </w:rPr>
          <w:t>Strengthening the Risk-Based Audit Framework</w:t>
        </w:r>
      </w:hyperlink>
      <w:r>
        <w:rPr>
          <w:rFonts w:ascii="Carlito" w:hAnsi="Carlito" w:cs="Amiri" w:eastAsia="Amiri"/>
          <w:b w:val="0"/>
          <w:i w:val="0"/>
          <w:color w:val="5B6472"/>
          <w:sz w:val="19"/>
        </w:rPr>
        <w:t xml:space="preserve">  (IAASB)</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The Pyramid Principle — Barbara Minto</w:t>
      </w:r>
    </w:p>
    <w:p>
      <w:pPr>
        <w:bidi/>
      </w:pPr>
      <w:r>
        <w:rPr>
          <w:rFonts w:ascii="Carlito" w:hAnsi="Carlito" w:cs="Amiri" w:eastAsia="Amiri"/>
          <w:b w:val="0"/>
          <w:i/>
          <w:color w:val="5B6472"/>
          <w:sz w:val="21"/>
        </w:rPr>
        <w:t>المرجع الذي تُبنى عليه ثقافة الكتابة التنفيذية في كبرى شركات الاستشارات: ابدأ بالخلاصة، ثم رتّب الحجج الداعمة هرميًا من الأهم للأقل أهمية.</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في تقريرك القادم، اكتب جملة الاستنتاج النهائي أولاً على ورقة منفصلة، ثم رتّب فقرات التقرير لتدعمها بالترتيب — لا تكتب التفاصيل أولاً وتترك القارئ يستنتج بنفسه.</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ceg.org/audit-and-compliance-in-the-era-of-ai-and-emerging-technology" TargetMode="External"/><Relationship Id="rId11" Type="http://schemas.openxmlformats.org/officeDocument/2006/relationships/hyperlink" Target="https://www.ifac.org/focus-areas/strengthening-risk-based-audit-framework-proposed-revisions-isa-330-isa-500-and-isa-520" TargetMode="External"/><Relationship Id="rId12" Type="http://schemas.openxmlformats.org/officeDocument/2006/relationships/hyperlink" Target="https://www.theiia.org/globalassets/site/content/articles/global-perspectives-and-insights/2022/global-perspectives--insights--cybersecurity-in-2022-parts-1-3/gpi_cybersecurity_2022_final_arabic.pdf" TargetMode="External"/><Relationship Id="rId13" Type="http://schemas.openxmlformats.org/officeDocument/2006/relationships/hyperlink" Target="https://www.intosai.org/fileadmin/downloads/about_us/IJGA_Issues/former_years/2018/AR_2018_v45n2.pdf" TargetMode="External"/><Relationship Id="rId14" Type="http://schemas.openxmlformats.org/officeDocument/2006/relationships/hyperlink" Target="https://www.pwc.com/us/en/services/consulting/risk-regulatory/enterprise-risk-management-controls/risk-assessment-reimagin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