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Audit Intelligence Report</w:t>
      </w:r>
    </w:p>
    <w:p>
      <w:r>
        <w:t># Executive Summary</w:t>
      </w:r>
    </w:p>
    <w:p>
      <w:r>
        <w:t>This weekly intelligence report highlights three critical developments shaping the audit, risk, and governance landscape as of August 11, 2026:</w:t>
      </w:r>
    </w:p>
    <w:p>
      <w:r>
        <w:t>1. **Global Internal Audit Standards (GIAS) Transition**: The transition to the new GIAS has entered a critical phase. The Institute of Internal Auditors (IIA) has released updated quality assessment frameworks to address practical conformance challenges and the implementation of the newly mandated Topical Requirements.</w:t>
        <w:br/>
        <w:t>2. **Sustainability Control Integration**: The Committee of Sponsoring Organizations of the Treadway Commission (COSO) and the International Federation of Accountants (IFAC) have intensified their collaboration on Internal Control over Sustainability Reporting (ICSR). This guidance bridges the gap between financial and non-financial reporting controls to meet stringent global disclosure mandates.</w:t>
        <w:br/>
        <w:t>3. **Algorithmic Accountability and AI Governance**: With global AI regulations, including the EU AI Act, now in active enforcement, supreme audit institutions and corporate boards are establishing rigorous algorithmic accountability frameworks. This shifts the focus of internal auditors toward continuous AI governance auditing and compliance with international standards like ISO/IEC 42001.</w:t>
      </w:r>
    </w:p>
    <w:p>
      <w:r>
        <w:t># Internal Audit</w:t>
      </w:r>
    </w:p>
    <w:p>
      <w:r>
        <w:t>يركز معهد المدققين الداخليين في أغسطس 2026 على دعم المؤسسات في مرحلة ما بعد تطبيق المعايير العالمية الجديدة للتدقيق الداخلي. أصدر المعهد أدلة إرشادية جديدة لتقييم الجودة الخارجية والداخلية لضمان الامتثال الكامل بالمعايير المحدثة. كما تم التركيز بشكل خاص على "المتطلبات الموضوعية" الجديدة، لا سيما في مجالات الأمن السيبراني وإدارة مخاطر الاستدامة. يتطلب هذا التحول من إدارات التدقيق الداخلي تحديث منهجياتها وخططها السنوية لتتماشى مع هذه المتطلبات الإلزامية، مما يسهم في تعزيز القيمة المضافة للمؤسسات وحماية أصولها المعرفية والمالية.</w:t>
      </w:r>
    </w:p>
    <w:p>
      <w:r>
        <w:t># Internal Controls</w:t>
      </w:r>
    </w:p>
    <w:p>
      <w:r>
        <w:t>أصدرت لجنة المؤسسات الراعية لتريدواي بالتعاون مع الاتحاد الدولي للمحاسبين إرشادات محدثة حول تطبيق إطار الرقابة الداخلية المتكامل على تقارير الاستدامة. تركز هذه الإرشادات على سد الفجوة بين الرقابة المالية والرقابة غير المالية، مع التأكيد على أهمية جودة البيانات البيئية والاجتماعية وحوكمتها. يُطلب من مسؤولي الرقابة الداخلية الآن تصميم ضوابط رقابية تضمن دقة وموثوقية البيانات الصادرة للجهات التنظيمية والمستثمرين، مما يقلل من مخاطر "الغسل الأخضر" ويعزز الثقة في التقارير المؤسسية الشاملة.</w:t>
      </w:r>
    </w:p>
    <w:p>
      <w:r>
        <w:t># Governance</w:t>
      </w:r>
    </w:p>
    <w:p>
      <w:r>
        <w:t>تسلط منظمة التعاون الاقتصادي والتنمية الضوء على تعزيز دور مجالس الإدارة في الإشراف على المخاطر الجيوسياسية ومرونة سلاسل الإمداد في ظل المتغيرات العالمية المستمرة. وفي الوقت نفسه، أصدر البنك الدولي تقريراً يشدد فيه على أهمية الشفافية ومكافحة الفساد من خلال تعزيز أطر الحوكمة المؤسسية في الشركات المملوكة للدولة. تركز التوجهات الحالية على دمج المعايير الأخلاقية والمسؤولية الاجتماعية في صلب القرارات الاستراتيجية للمجالس لضمان الاستدامة على المدى الطويل وحماية حقوق أصحاب المصلحة.</w:t>
      </w:r>
    </w:p>
    <w:p>
      <w:r>
        <w:t># Risk Management</w:t>
      </w:r>
    </w:p>
    <w:p>
      <w:r>
        <w:t>تشير تقارير الشركات المهنية الكبرى إلى تصاعد وتيرة المخاطر المترابطة، حيث لم تعد المخاطر السيبرانية أو المناخية تعمل بمعزل عن بعضها البعض. تدعو التحديثات الأخيرة لإدارة المخاطر المؤسسية إلى تبني نماذج محاكاة متقدمة واختبارات تحمل ديناميكية للتنبؤ بالأزمات المركبة. كما تم دمج إطار العمل الخاص بالإفصاحات المالية المتعلقة بالطبيعة ضمن استراتيجيات إدارة المخاطر لتقييم أثر التنوع البيولوجي وتدهور النظم البيئية على استمرارية الأعمال وسلاسل التوريد.</w:t>
      </w:r>
    </w:p>
    <w:p>
      <w:r>
        <w:t># Public Sector Reform</w:t>
      </w:r>
    </w:p>
    <w:p>
      <w:r>
        <w:t>تقود المنظمة الدولية للأجهزة العليا للرقابة المالية والمحاسبة مبادرات جديدة لتحديث الرقابة على المالية العامة. تركز المبادئ التوجيهية الأخيرة على تعزيز قدرات الأجهزة العليا للرقابة في تدقيق الدين العام والبنية التحتية الرقمية الحكومية. ويدعم البنك الدولي هذه الجهود من خلال تمويل برامج التحول الرقمي للحكومات، بهدف تحسين كفاءة الإنفاق العام، وتعزيز المساءلة، والحد من الهدر المالي من خلال أدوات الرقابة الذكية والمفتوحة.</w:t>
      </w:r>
    </w:p>
    <w:p>
      <w:r>
        <w:t># Artificial Intelligence</w:t>
      </w:r>
    </w:p>
    <w:p>
      <w:r>
        <w:t>مع دخول القوانين التنظيمية للذكاء الاصطناعي حيز التنفيذ الصارم، يواجه المدققون الداخليون تحدياً مزدوجاً: تدقيق أنظمة الذكاء الاصطناعي المستخدمة في مؤسساتهم، واستخدام الذكاء الاصطناعي كأداة تدقيق متطورة. أصدرت المعاهد المهنية إرشادات حول كيفية تدقيق الخوارزميات وضمان العدالة والشفافية والحد من الانحياز وفقاً للمعيار الدولي "آيزو 42001". كما يتم التركيز على حوكمة الذكاء الاصطناعي التوليدي لمنع تسريب البيانات الحساسة وحماية الملكية الفكرية للمؤسسات.</w:t>
      </w:r>
    </w:p>
    <w:p>
      <w:r>
        <w:t># Why It Matters</w:t>
      </w:r>
    </w:p>
    <w:p>
      <w:r>
        <w:t>تمثل تطورات هذا الأسبوع تحولاً جذرياً في دور المدقق الداخلي من دور رقابي تقليدي إلى شريك استراتيجي ومستشار موثوق لمجلس الإدارة. إن الامتثال للمعايير العالمية الجديدة وتطبيق ضوابط صارمة على تقارير الاستدامة وحوكمة الذكاء الاصطناعي لم يعد خياراً ثانوياً، بل هو ركيزة أساسية لحماية سمعة المؤسسة وضمان استمراريتها في سوق معقد وسريع التغير. يتعين على قادة التدقيق الاستثمار الفوري في بناء مهارات فرقهم وتحديث أدواتهم التكنولوجية لمواكبة هذه المتطلبات المتسارعة.</w:t>
      </w:r>
    </w:p>
    <w:p>
      <w:r>
        <w:t># Recommended Reading</w:t>
      </w:r>
    </w:p>
    <w:p>
      <w:r>
        <w:t>1. **معهد المدققين الداخليين**: دليل تطبيق المعايير العالمية الجديدة للتدقيق الداخلي والتركيز على المتطلبات الموضوعية للأمن السيبراني.</w:t>
        <w:br/>
        <w:t>2. **لجنة المؤسسات الراعية لتريدواي والاتحاد الدولي للمحاسبين**: تحقيق الرقابة الداخلية الفعالة على تقارير الاستدامة باستخدام إطار العمل المتكامل.</w:t>
        <w:br/>
        <w:t>3. **منظمة التعاون الاقتصادي والتنمية**: تقرير حوكمة الشركات وتحديات المخاطر الجيوسياسية الناشئة ومرونة سلاسل الإمداد.</w:t>
        <w:br/>
        <w:t>4. **المنظمة الدولية للأجهزة العليا للرقابة**: المبادئ التوجيهية الحديثة لتدقيق البنية التحتية الرقمية والتحول الرقمي في القطاع العام.</w:t>
        <w:br/>
        <w:t>5. **البنك الدولي**: تقرير تعزيز الشفافية ومكافحة الفساد في المؤسسات الحكومية والشركات المملوكة للدولة.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