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792"/>
      </w:tblGrid>
      <w:tr>
        <w:tc>
          <w:tcPr>
            <w:tcW w:type="dxa" w:w="9936"/>
            <w:shd w:val="clear" w:color="auto" w:fill="0F172A"/>
          </w:tcPr>
          <w:p>
            <w:pPr>
              <w:spacing w:before="280" w:after="80"/>
              <w:jc w:val="right"/>
            </w:pPr>
            <w:r>
              <w:rPr>
                <w:rFonts w:ascii="Arial" w:hAnsi="Arial"/>
                <w:color w:val="94A3B8"/>
                <w:sz w:val="20"/>
              </w:rPr>
              <w:t>موجز تنفيذي رفيع المستوى  •  2026-08-12</w:t>
              <w:br/>
            </w:r>
            <w:r>
              <w:rPr>
                <w:rFonts w:ascii="Arial" w:hAnsi="Arial"/>
                <w:b/>
                <w:color w:val="FFFFFF"/>
                <w:sz w:val="40"/>
              </w:rPr>
              <w:t>النشرة الذكية للتدقيق والحوكمة</w:t>
              <w:br/>
              <w:t>Audit &amp; Governance Intelligence Brief</w:t>
            </w:r>
          </w:p>
        </w:tc>
      </w:tr>
    </w:tbl>
    <w:p>
      <w:pPr>
        <w:spacing w:after="240"/>
      </w:pPr>
    </w:p>
    <w:p>
      <w:pPr>
        <w:spacing w:before="360" w:after="120"/>
        <w:jc w:val="right"/>
      </w:pPr>
      <w:r>
        <w:rPr>
          <w:rFonts w:ascii="Arial" w:hAnsi="Arial"/>
          <w:b/>
          <w:color w:val="0F172A"/>
          <w:sz w:val="36"/>
        </w:rPr>
        <w:t>Executive Summary</w:t>
      </w:r>
    </w:p>
    <w:p>
      <w:pPr>
        <w:spacing w:after="120"/>
        <w:jc w:val="right"/>
      </w:pPr>
      <w:r>
        <w:rPr>
          <w:rFonts w:ascii="Arial" w:hAnsi="Arial"/>
          <w:color w:val="1E293B"/>
          <w:sz w:val="21"/>
        </w:rPr>
        <w:t>**التاريخ: 12 أغسطس 2026**</w:t>
      </w:r>
    </w:p>
    <w:p>
      <w:pPr>
        <w:spacing w:after="120"/>
        <w:jc w:val="right"/>
      </w:pPr>
      <w:r>
        <w:rPr>
          <w:rFonts w:ascii="Arial" w:hAnsi="Arial"/>
          <w:color w:val="1E293B"/>
          <w:sz w:val="21"/>
        </w:rPr>
        <w:t>أهلاً بكم في العدد الأسبوعي من **"نشرة استخبارات التدقيق والرقابة" (Audit Intelligence Weekly)**، الموجهة خصيصاً لقادة التدقيق الداخلي، ومديري المخاطر، وأعضاء لجان المراجعة في الشرق الأوسط والعالم. نركز هذا الأسبوع على ثلاثة تطورات جوهرية تعيد تشكيل مشهد الحوكمة والرقابة:</w:t>
      </w:r>
    </w:p>
    <w:p>
      <w:pPr>
        <w:spacing w:after="120"/>
        <w:jc w:val="right"/>
      </w:pPr>
      <w:r>
        <w:rPr>
          <w:rFonts w:ascii="Arial" w:hAnsi="Arial"/>
          <w:color w:val="1E293B"/>
          <w:sz w:val="21"/>
        </w:rPr>
        <w:t>1. ⚡ **الدخول الكامل حيز التنفيذ لمعايير التدقيق الداخلي العالمية الجديدة (IIA Global Internal Audit Standards):** مع انتصاف عام 2026، تواجه الإدارات الرقابية ضغوطاً متزايدة لإثبات الامتثال الكامل للمبادئ الجديدة، لا سيما ما يتعلق بتقييم الأداء الخارجي وحوكمة تكنولوجيا المعلومات.</w:t>
      </w:r>
    </w:p>
    <w:p>
      <w:pPr>
        <w:spacing w:after="120"/>
        <w:jc w:val="right"/>
      </w:pPr>
      <w:r>
        <w:rPr>
          <w:rFonts w:ascii="Arial" w:hAnsi="Arial"/>
          <w:color w:val="1E293B"/>
          <w:sz w:val="21"/>
        </w:rPr>
        <w:t>2. 📊 **التحول نحو الرقابة المستمرة القائمة على البيانات (Continuous Controls Monitoring - CCM):** تزايد اعتماد المؤسسات الرائدة على تقنيات التحليل الفوري للبيانات للحد من مخاطر الاحتيال المالي والتشغيلي، مما يقلل الاعتماد على عينات التدقيق التقليدية بأثر رجعي.</w:t>
      </w:r>
    </w:p>
    <w:p>
      <w:pPr>
        <w:spacing w:after="120"/>
        <w:jc w:val="right"/>
      </w:pPr>
      <w:r>
        <w:rPr>
          <w:rFonts w:ascii="Arial" w:hAnsi="Arial"/>
          <w:color w:val="1E293B"/>
          <w:sz w:val="21"/>
        </w:rPr>
        <w:t>3. ⚖️ **تشديد الرقابة التنظيمية على حوكمة الذكاء الاصطناعي (AI Governance):** لم يعد التدقيق في الذكاء الاصطناعي خياراً ترفياً؛ حيث بدأت الجهات التنظيمية بفرض غرامات صارمة على المؤسسات التي تفتقر إلى أطر واضحة لإدارة مخاطر الخوارزميات والتحيز وحماية البيانات.</w:t>
      </w:r>
    </w:p>
    <w:p>
      <w:pPr>
        <w:spacing w:after="120"/>
        <w:jc w:val="right"/>
      </w:pPr>
      <w:r>
        <w:rPr>
          <w:rFonts w:ascii="Arial" w:hAnsi="Arial"/>
          <w:color w:val="1E293B"/>
          <w:sz w:val="21"/>
        </w:rPr>
        <w:t>---</w:t>
      </w:r>
    </w:p>
    <w:p>
      <w:pPr>
        <w:spacing w:before="360" w:after="120"/>
        <w:jc w:val="right"/>
      </w:pPr>
      <w:r>
        <w:rPr>
          <w:rFonts w:ascii="Arial" w:hAnsi="Arial"/>
          <w:b/>
          <w:color w:val="0F172A"/>
          <w:sz w:val="36"/>
        </w:rPr>
        <w:t>Internal Audit</w:t>
      </w:r>
    </w:p>
    <w:p>
      <w:pPr>
        <w:spacing w:before="200" w:after="40"/>
        <w:jc w:val="right"/>
      </w:pPr>
      <w:r>
        <w:rPr>
          <w:rFonts w:ascii="Arial" w:hAnsi="Arial"/>
          <w:b/>
          <w:color w:val="0F172A"/>
          <w:sz w:val="24"/>
        </w:rPr>
        <w:t>💡 خطوات عملية سريعة وتدابير تكتيكية (Practical Quick Wins)</w:t>
      </w:r>
    </w:p>
    <w:p>
      <w:pPr>
        <w:spacing w:after="120"/>
        <w:jc w:val="right"/>
      </w:pPr>
      <w:r>
        <w:rPr>
          <w:rFonts w:ascii="Arial" w:hAnsi="Arial"/>
          <w:color w:val="1E293B"/>
          <w:sz w:val="21"/>
        </w:rPr>
        <w:t>لضمان مواكبة التطورات الأخيرة في مهنة التدقيق الداخلي، نوصي مديري التدقيق (CAEs) بتطبيق الخطوات التالية فوراً في خططهم الحالية:</w:t>
      </w:r>
    </w:p>
    <w:p>
      <w:pPr>
        <w:spacing w:after="120"/>
        <w:jc w:val="right"/>
      </w:pPr>
      <w:r>
        <w:rPr>
          <w:rFonts w:ascii="Arial" w:hAnsi="Arial"/>
          <w:color w:val="1E293B"/>
          <w:sz w:val="21"/>
        </w:rPr>
        <w:t>*   **إجراء تحليل الفجوات الشامل (Gap Analysis):** مقارنة المنهجية الحالية للتدقيق الداخلي مع المعايير العالمية الجديدة الصادرة عن المعهد الدولي للمدققين الداخليين (IIA Standards). ركز على "المجال الخامس" (Domain V) المتعلق بجودة أداء أعمال التدقيق.</w:t>
      </w:r>
    </w:p>
    <w:p>
      <w:pPr>
        <w:spacing w:after="120"/>
        <w:jc w:val="right"/>
      </w:pPr>
      <w:r>
        <w:rPr>
          <w:rFonts w:ascii="Arial" w:hAnsi="Arial"/>
          <w:color w:val="1E293B"/>
          <w:sz w:val="21"/>
        </w:rPr>
        <w:t>*   **التحول إلى التقييم الديناميكي للمخاطر (Dynamic Risk Assessment):** استبدال خطة التدقيق السنوية الجامدة بـ "خطة تدقيق مرنة" يتم تحديثها ربع سنويًا بناءً على تغير بيئة المخاطر ومؤشرات الأداء الرئيسية.</w:t>
      </w:r>
    </w:p>
    <w:p>
      <w:pPr>
        <w:spacing w:after="120"/>
        <w:jc w:val="right"/>
      </w:pPr>
      <w:r>
        <w:rPr>
          <w:rFonts w:ascii="Arial" w:hAnsi="Arial"/>
          <w:color w:val="1E293B"/>
          <w:sz w:val="21"/>
        </w:rPr>
        <w:t>*   **تطوير مصفوفة مهارات الفريق (Skills Matrix):** تقييم قدرات فريق التدقيق في مجالات تحليل البيانات الضخمة، والأمن السيبراني، وحوكمة الذكاء الاصطناعي، ووضع خطة تدريبية عاجلة لسد الثغرات المعرفية.</w:t>
      </w:r>
    </w:p>
    <w:p>
      <w:pPr>
        <w:spacing w:after="120"/>
        <w:jc w:val="right"/>
      </w:pPr>
      <w:r>
        <w:rPr>
          <w:rFonts w:ascii="Arial" w:hAnsi="Arial"/>
          <w:color w:val="1E293B"/>
          <w:sz w:val="21"/>
        </w:rPr>
        <w:t>---</w:t>
      </w:r>
    </w:p>
    <w:p>
      <w:pPr>
        <w:spacing w:before="360" w:after="120"/>
        <w:jc w:val="right"/>
      </w:pPr>
      <w:r>
        <w:rPr>
          <w:rFonts w:ascii="Arial" w:hAnsi="Arial"/>
          <w:b/>
          <w:color w:val="0F172A"/>
          <w:sz w:val="36"/>
        </w:rPr>
        <w:t>Internal Controls</w:t>
      </w:r>
    </w:p>
    <w:p>
      <w:pPr>
        <w:spacing w:before="200" w:after="40"/>
        <w:jc w:val="right"/>
      </w:pPr>
      <w:r>
        <w:rPr>
          <w:rFonts w:ascii="Arial" w:hAnsi="Arial"/>
          <w:b/>
          <w:color w:val="0F172A"/>
          <w:sz w:val="24"/>
        </w:rPr>
        <w:t>🕰️ تذكير بأفضل الممارسات: إطار (COSO) والرقابة على التكنولوجيا</w:t>
      </w:r>
    </w:p>
    <w:p>
      <w:pPr>
        <w:spacing w:after="120"/>
        <w:jc w:val="right"/>
      </w:pPr>
      <w:r>
        <w:rPr>
          <w:rFonts w:ascii="Arial" w:hAnsi="Arial"/>
          <w:color w:val="1E293B"/>
          <w:sz w:val="21"/>
        </w:rPr>
        <w:t>في ظل تسارع التحول الرقمي، نعود إلى المبدأ رقم 11 من مبادئ إطار (COSO) للرقابة الداخلية، والذي ينص على: *"اختيار وتطوير أنشطة رقابية عامة على التكنولوجيا لدعم تحقيق الأهداف"*.</w:t>
      </w:r>
    </w:p>
    <w:p>
      <w:pPr>
        <w:spacing w:after="120"/>
        <w:jc w:val="right"/>
      </w:pPr>
      <w:r>
        <w:rPr>
          <w:rFonts w:ascii="Arial" w:hAnsi="Arial"/>
          <w:color w:val="1E293B"/>
          <w:sz w:val="21"/>
        </w:rPr>
        <w:t>*   **الربط بالواقع الحديث:** لم يعد كافياً مراجعة صلاحيات المستخدمين التقليدية (User Access Reviews). يجب على المدققين اليوم تقييم الضوابط الرقابية المحيطة ببيئات الحوسبة السحابية (Cloud Environments) وخطوط نقل البيانات الآلية (Data Pipelines).</w:t>
      </w:r>
    </w:p>
    <w:p>
      <w:pPr>
        <w:spacing w:after="120"/>
        <w:jc w:val="right"/>
      </w:pPr>
      <w:r>
        <w:rPr>
          <w:rFonts w:ascii="Arial" w:hAnsi="Arial"/>
          <w:color w:val="1E293B"/>
          <w:sz w:val="21"/>
        </w:rPr>
        <w:t>*   **الرقابة على التقارير غير المالية (ICSR):** تطبيق مبادئ (COSO) على تقارير الاستدامة والحوكمة البيئية والاجتماعية والمؤسسية (ESG) لضمان دقة البيانات المصدرة للجهات التنظيمية والمستثمرين، وتجنب مخاطر "الغسل الأخضر" (Greenwashing).</w:t>
      </w:r>
    </w:p>
    <w:p>
      <w:pPr>
        <w:spacing w:after="120"/>
        <w:jc w:val="right"/>
      </w:pPr>
      <w:r>
        <w:rPr>
          <w:rFonts w:ascii="Arial" w:hAnsi="Arial"/>
          <w:color w:val="1E293B"/>
          <w:sz w:val="21"/>
        </w:rPr>
        <w:t>---</w:t>
      </w:r>
    </w:p>
    <w:p>
      <w:pPr>
        <w:spacing w:before="360" w:after="120"/>
        <w:jc w:val="right"/>
      </w:pPr>
      <w:r>
        <w:rPr>
          <w:rFonts w:ascii="Arial" w:hAnsi="Arial"/>
          <w:b/>
          <w:color w:val="0F172A"/>
          <w:sz w:val="36"/>
        </w:rPr>
        <w:t>Governance</w:t>
      </w:r>
    </w:p>
    <w:p>
      <w:pPr>
        <w:spacing w:before="200" w:after="40"/>
        <w:jc w:val="right"/>
      </w:pPr>
      <w:r>
        <w:rPr>
          <w:rFonts w:ascii="Arial" w:hAnsi="Arial"/>
          <w:b/>
          <w:color w:val="0F172A"/>
          <w:sz w:val="24"/>
        </w:rPr>
        <w:t>🛡️ تعزيز دور لجنة المراجعة ومجلس الإدارة</w:t>
      </w:r>
    </w:p>
    <w:p>
      <w:pPr>
        <w:spacing w:after="120"/>
        <w:jc w:val="right"/>
      </w:pPr>
      <w:r>
        <w:rPr>
          <w:rFonts w:ascii="Arial" w:hAnsi="Arial"/>
          <w:color w:val="1E293B"/>
          <w:sz w:val="21"/>
        </w:rPr>
        <w:t>تتطلب بيئة الأعمال المعقدة في عام 2026 تفعيلاً حقيقياً لحوكمة الشركات لضمان استدامة الأعمال:</w:t>
      </w:r>
    </w:p>
    <w:p>
      <w:pPr>
        <w:spacing w:after="120"/>
        <w:jc w:val="right"/>
      </w:pPr>
      <w:r>
        <w:rPr>
          <w:rFonts w:ascii="Arial" w:hAnsi="Arial"/>
          <w:color w:val="1E293B"/>
          <w:sz w:val="21"/>
        </w:rPr>
        <w:t>*   **الإشراف على مخاطر الطرف الثالث (Third-Party Risk Governance):** يجب على مجالس الإدارات ولجان المراجعة التأكد من وجود إطار حوكمة صارم يغطي الموردين ومزودي الخدمات السحابية، لضمان عدم تسرب البيانات الحساسة أو انقطاع سلاسل الإمداد الرقمية.</w:t>
      </w:r>
    </w:p>
    <w:p>
      <w:pPr>
        <w:spacing w:after="120"/>
        <w:jc w:val="right"/>
      </w:pPr>
      <w:r>
        <w:rPr>
          <w:rFonts w:ascii="Arial" w:hAnsi="Arial"/>
          <w:color w:val="1E293B"/>
          <w:sz w:val="21"/>
        </w:rPr>
        <w:t>*   **تكامل خطوط الدفاع الثلاثة (Three Lines Model):** إعادة مواءمة الأدوار بين الإدارة التنفيذية (الخط الأول)، وإدارة المخاطر والامتثال (الخط الثاني)، والتدقيق الداخلي (الخط الثالث) لضمان عدم تكرار الجهود الرقابية وتغطية كافة الثغرات بفعالية.</w:t>
      </w:r>
    </w:p>
    <w:p>
      <w:pPr>
        <w:spacing w:after="120"/>
        <w:jc w:val="right"/>
      </w:pPr>
      <w:r>
        <w:rPr>
          <w:rFonts w:ascii="Arial" w:hAnsi="Arial"/>
          <w:color w:val="1E293B"/>
          <w:sz w:val="21"/>
        </w:rPr>
        <w:t>*   **الشفافية في الإفصاحات:** تبني معايير منظمة التعاون الاقتصادي والتنمية (OECD) والبنك الدولي (World Bank) في تعزيز الشفافية ومكافحة الفساد الإداري من خلال قنوات إبلاغ آمنة ومستقلة للمخالفات (Whistleblowing Channels).</w:t>
      </w:r>
    </w:p>
    <w:p>
      <w:pPr>
        <w:spacing w:after="120"/>
        <w:jc w:val="right"/>
      </w:pPr>
      <w:r>
        <w:rPr>
          <w:rFonts w:ascii="Arial" w:hAnsi="Arial"/>
          <w:color w:val="1E293B"/>
          <w:sz w:val="21"/>
        </w:rPr>
        <w:t>---</w:t>
      </w:r>
    </w:p>
    <w:p>
      <w:pPr>
        <w:spacing w:before="360" w:after="120"/>
        <w:jc w:val="right"/>
      </w:pPr>
      <w:r>
        <w:rPr>
          <w:rFonts w:ascii="Arial" w:hAnsi="Arial"/>
          <w:b/>
          <w:color w:val="0F172A"/>
          <w:sz w:val="36"/>
        </w:rPr>
        <w:t>Risk Management</w:t>
      </w:r>
    </w:p>
    <w:p>
      <w:pPr>
        <w:spacing w:before="200" w:after="40"/>
        <w:jc w:val="right"/>
      </w:pPr>
      <w:r>
        <w:rPr>
          <w:rFonts w:ascii="Arial" w:hAnsi="Arial"/>
          <w:b/>
          <w:color w:val="0F172A"/>
          <w:sz w:val="24"/>
        </w:rPr>
        <w:t>🎯 إدارة المخاطر المؤسسية (ERM) ومؤشرات المخاطر الرئيسية (KRIs)</w:t>
      </w:r>
    </w:p>
    <w:p>
      <w:pPr>
        <w:spacing w:after="120"/>
        <w:jc w:val="right"/>
      </w:pPr>
      <w:r>
        <w:rPr>
          <w:rFonts w:ascii="Arial" w:hAnsi="Arial"/>
          <w:color w:val="1E293B"/>
          <w:sz w:val="21"/>
        </w:rPr>
        <w:t>لم تعد إدارة المخاطر تقتصر على رصد التهديدات، بل أصبحت شريكاً في تمكين اقتناص الفرص الاستراتيجية. نوصي بتفعيل مؤشرات المخاطر الرئيسية التالية:</w:t>
      </w:r>
    </w:p>
    <w:p>
      <w:pPr>
        <w:spacing w:after="120"/>
        <w:jc w:val="right"/>
      </w:pPr>
      <w:r>
        <w:rPr>
          <w:rFonts w:ascii="Arial" w:hAnsi="Arial"/>
          <w:color w:val="1E293B"/>
          <w:sz w:val="21"/>
        </w:rPr>
        <w:t>| مجال الخطر | مؤشر الخطر الرئيسي (KRI) المقترح | الإجراء الوقائي الموصى به |</w:t>
      </w:r>
    </w:p>
    <w:p>
      <w:pPr>
        <w:spacing w:after="120"/>
        <w:jc w:val="right"/>
      </w:pPr>
      <w:r>
        <w:rPr>
          <w:rFonts w:ascii="Arial" w:hAnsi="Arial"/>
          <w:color w:val="1E293B"/>
          <w:sz w:val="21"/>
        </w:rPr>
        <w:t>| :--- | :--- | :--- |</w:t>
      </w:r>
    </w:p>
    <w:p>
      <w:pPr>
        <w:spacing w:after="120"/>
        <w:jc w:val="right"/>
      </w:pPr>
      <w:r>
        <w:rPr>
          <w:rFonts w:ascii="Arial" w:hAnsi="Arial"/>
          <w:color w:val="1E293B"/>
          <w:sz w:val="21"/>
        </w:rPr>
        <w:t>| **الأمن السيبراني** | عدد محاولات الاختراق الناجحة أو غير الناجحة شهرياً. | تحديث بروتوكولات الاستجابة للحوادث واختبار الاختراق الدوري. |</w:t>
      </w:r>
    </w:p>
    <w:p>
      <w:pPr>
        <w:spacing w:after="120"/>
        <w:jc w:val="right"/>
      </w:pPr>
      <w:r>
        <w:rPr>
          <w:rFonts w:ascii="Arial" w:hAnsi="Arial"/>
          <w:color w:val="1E293B"/>
          <w:sz w:val="21"/>
        </w:rPr>
        <w:t>| **الامتثال التنظيمي** | عدد التعديلات التشريعية غير المطبقة في السياسات الداخلية. | إنشاء مرصد تنظيمي آلي لمتابعة القوانين واللوائح الجديدة فور صدورها. |</w:t>
      </w:r>
    </w:p>
    <w:p>
      <w:pPr>
        <w:spacing w:after="120"/>
        <w:jc w:val="right"/>
      </w:pPr>
      <w:r>
        <w:rPr>
          <w:rFonts w:ascii="Arial" w:hAnsi="Arial"/>
          <w:color w:val="1E293B"/>
          <w:sz w:val="21"/>
        </w:rPr>
        <w:t>| **المرونة التشغيلية** | وقت التعافي الفعلي (RTO) للأنظمة الحيوية عند الانقطاع. | إجراء محاكاة دورية لسيناريوهات الكوارث وانقطاع الأعمال (BCP). |</w:t>
      </w:r>
    </w:p>
    <w:p>
      <w:pPr>
        <w:spacing w:after="120"/>
        <w:jc w:val="right"/>
      </w:pPr>
      <w:r>
        <w:rPr>
          <w:rFonts w:ascii="Arial" w:hAnsi="Arial"/>
          <w:color w:val="1E293B"/>
          <w:sz w:val="21"/>
        </w:rPr>
        <w:t>---</w:t>
      </w:r>
    </w:p>
    <w:p>
      <w:pPr>
        <w:spacing w:before="360" w:after="120"/>
        <w:jc w:val="right"/>
      </w:pPr>
      <w:r>
        <w:rPr>
          <w:rFonts w:ascii="Arial" w:hAnsi="Arial"/>
          <w:b/>
          <w:color w:val="0F172A"/>
          <w:sz w:val="36"/>
        </w:rPr>
        <w:t>Public Sector Reform</w:t>
      </w:r>
    </w:p>
    <w:p>
      <w:pPr>
        <w:spacing w:before="200" w:after="40"/>
        <w:jc w:val="right"/>
      </w:pPr>
      <w:r>
        <w:rPr>
          <w:rFonts w:ascii="Arial" w:hAnsi="Arial"/>
          <w:b/>
          <w:color w:val="0F172A"/>
          <w:sz w:val="24"/>
        </w:rPr>
        <w:t>🏛️ تحديث الرقابة في القطاع الحكومي</w:t>
      </w:r>
    </w:p>
    <w:p>
      <w:pPr>
        <w:spacing w:after="120"/>
        <w:jc w:val="right"/>
      </w:pPr>
      <w:r>
        <w:rPr>
          <w:rFonts w:ascii="Arial" w:hAnsi="Arial"/>
          <w:color w:val="1E293B"/>
          <w:sz w:val="21"/>
        </w:rPr>
        <w:t>تشهد الأجهزة الرقابية الحكومية تحولاً جذرياً بقيادة مبادرات منظمة (INTOSAI) ومكاتب المحاسبة الوطنية مثل (GAO) في الولايات المتحدة و (NAO) في المملكة المتحدة:</w:t>
      </w:r>
    </w:p>
    <w:p>
      <w:pPr>
        <w:spacing w:after="120"/>
        <w:jc w:val="right"/>
      </w:pPr>
      <w:r>
        <w:rPr>
          <w:rFonts w:ascii="Arial" w:hAnsi="Arial"/>
          <w:color w:val="1E293B"/>
          <w:sz w:val="21"/>
        </w:rPr>
        <w:t>*   **الانتقال إلى تدقيق الأداء (Performance Auditing):** التركيز على تقييم "القيمة مقابل المال" (Value for Money) بدلاً من التدقيق المالي التقليدي القائم على المستندات فقط.</w:t>
      </w:r>
    </w:p>
    <w:p>
      <w:pPr>
        <w:spacing w:after="120"/>
        <w:jc w:val="right"/>
      </w:pPr>
      <w:r>
        <w:rPr>
          <w:rFonts w:ascii="Arial" w:hAnsi="Arial"/>
          <w:color w:val="1E293B"/>
          <w:sz w:val="21"/>
        </w:rPr>
        <w:t>*   **مكافحة الهدر المالي رقمياً:** استخدام تقنيات تنقيب البيانات (Data Mining) للكشف عن حالات التواطؤ في المشتريات الحكومية والمناقصات العامة.</w:t>
      </w:r>
    </w:p>
    <w:p>
      <w:pPr>
        <w:spacing w:after="120"/>
        <w:jc w:val="right"/>
      </w:pPr>
      <w:r>
        <w:rPr>
          <w:rFonts w:ascii="Arial" w:hAnsi="Arial"/>
          <w:color w:val="1E293B"/>
          <w:sz w:val="21"/>
        </w:rPr>
        <w:t>*   **تعزيز المساءلة:** تطبيق أطر الحوكمة الرشيدة الصادرة عن البنك الدولي لضمان كفاءة الإنفاق العام وتحقيق أهداف التنمية المستدامة.</w:t>
      </w:r>
    </w:p>
    <w:p>
      <w:pPr>
        <w:spacing w:after="120"/>
        <w:jc w:val="right"/>
      </w:pPr>
      <w:r>
        <w:rPr>
          <w:rFonts w:ascii="Arial" w:hAnsi="Arial"/>
          <w:color w:val="1E293B"/>
          <w:sz w:val="21"/>
        </w:rPr>
        <w:t>---</w:t>
      </w:r>
    </w:p>
    <w:p>
      <w:pPr>
        <w:spacing w:before="360" w:after="120"/>
        <w:jc w:val="right"/>
      </w:pPr>
      <w:r>
        <w:rPr>
          <w:rFonts w:ascii="Arial" w:hAnsi="Arial"/>
          <w:b/>
          <w:color w:val="0F172A"/>
          <w:sz w:val="36"/>
        </w:rPr>
        <w:t>Artificial Intelligence</w:t>
      </w:r>
    </w:p>
    <w:p>
      <w:pPr>
        <w:spacing w:before="200" w:after="40"/>
        <w:jc w:val="right"/>
      </w:pPr>
      <w:r>
        <w:rPr>
          <w:rFonts w:ascii="Arial" w:hAnsi="Arial"/>
          <w:b/>
          <w:color w:val="0F172A"/>
          <w:sz w:val="24"/>
        </w:rPr>
        <w:t>🤖 مختبر تدقيق الذكاء الاصطناعي (AI Audit Lab)</w:t>
      </w:r>
    </w:p>
    <w:p>
      <w:pPr>
        <w:spacing w:after="120"/>
        <w:jc w:val="right"/>
      </w:pPr>
      <w:r>
        <w:rPr>
          <w:rFonts w:ascii="Arial" w:hAnsi="Arial"/>
          <w:color w:val="1E293B"/>
          <w:sz w:val="21"/>
        </w:rPr>
        <w:t>**حالة الاستخدام العملي:** مقارنة السياسات الداخلية باللوائح التنظيمية باستخدام الذكاء الاصطناعي التوليدي (LLMs).</w:t>
      </w:r>
    </w:p>
    <w:p>
      <w:pPr>
        <w:spacing w:after="120"/>
        <w:jc w:val="right"/>
      </w:pPr>
      <w:r>
        <w:rPr>
          <w:rFonts w:ascii="Arial" w:hAnsi="Arial"/>
          <w:color w:val="1E293B"/>
          <w:sz w:val="21"/>
        </w:rPr>
        <w:t>يمكن للمدققين استخدام النماذج اللغوية الكبيرة لمقارنة سياسة حماية البيانات الداخلية للمؤسسة مع التشريعات الوطنية (مثل نظام حماية البيانات الشخصية الصادر عن الهيئة السعودية للبيانات والذكاء الاصطناعي SDAIA أو قانون GDPR).</w:t>
      </w:r>
    </w:p>
    <w:p>
      <w:pPr>
        <w:spacing w:after="120"/>
        <w:jc w:val="right"/>
      </w:pPr>
      <w:r>
        <w:rPr>
          <w:rFonts w:ascii="Arial" w:hAnsi="Arial"/>
          <w:color w:val="1E293B"/>
          <w:sz w:val="21"/>
        </w:rPr>
        <w:t>#### 📝 نموذج الأمر (Prompt) الجاهز للاستخدام:</w:t>
      </w:r>
    </w:p>
    <w:tbl>
      <w:tblPr>
        <w:tblW w:type="auto" w:w="0"/>
        <w:tblLook w:firstColumn="1" w:firstRow="1" w:lastColumn="0" w:lastRow="0" w:noHBand="0" w:noVBand="1" w:val="04A0"/>
      </w:tblPr>
      <w:tblGrid>
        <w:gridCol w:w="9936"/>
      </w:tblGrid>
      <w:tr>
        <w:tc>
          <w:tcPr>
            <w:tcW w:type="dxa" w:w="9936"/>
            <w:shd w:val="clear" w:color="auto" w:fill="F1F5F9"/>
          </w:tcPr>
          <w:p>
            <w:pPr>
              <w:jc w:val="right"/>
            </w:pPr>
            <w:r>
              <w:rPr>
                <w:rFonts w:ascii="Arial" w:hAnsi="Arial"/>
                <w:i/>
                <w:color w:val="334155"/>
                <w:sz w:val="21"/>
              </w:rPr>
              <w:t>"بصفتك خبيراً في تدقيق الحوكمة والامتثال، قم بمقارنة مستند 'السياسة الداخلية لحماية البيانات' المرفق مع متطلبات 'نظام حماية البيانات الشخصية (PDPL)'. حدد بدقة أي فجوات (Gaps) في الامتثال، وصنف المخاطر الناتجة إلى (عالية، متوسطة، منخفضة)، وقدم توصيات صياغة محددة لتعديل السياسة الداخلية لتتوافق بنسبة 100% مع النظام."</w:t>
            </w:r>
          </w:p>
        </w:tc>
      </w:tr>
    </w:tbl>
    <w:p>
      <w:pPr>
        <w:spacing w:after="120"/>
        <w:jc w:val="right"/>
      </w:pPr>
      <w:r>
        <w:rPr>
          <w:rFonts w:ascii="Arial" w:hAnsi="Arial"/>
          <w:color w:val="1E293B"/>
          <w:sz w:val="21"/>
        </w:rPr>
        <w:t>---</w:t>
      </w:r>
    </w:p>
    <w:p>
      <w:pPr>
        <w:spacing w:before="360" w:after="120"/>
        <w:jc w:val="right"/>
      </w:pPr>
      <w:r>
        <w:rPr>
          <w:rFonts w:ascii="Arial" w:hAnsi="Arial"/>
          <w:b/>
          <w:color w:val="0F172A"/>
          <w:sz w:val="36"/>
        </w:rPr>
        <w:t>Why It Matters</w:t>
      </w:r>
    </w:p>
    <w:p>
      <w:pPr>
        <w:spacing w:before="200" w:after="40"/>
        <w:jc w:val="right"/>
      </w:pPr>
      <w:r>
        <w:rPr>
          <w:rFonts w:ascii="Arial" w:hAnsi="Arial"/>
          <w:b/>
          <w:color w:val="0F172A"/>
          <w:sz w:val="24"/>
        </w:rPr>
        <w:t>🔍 الأثر الاستراتيجي: لماذا يهمنا هذا الآن؟</w:t>
      </w:r>
    </w:p>
    <w:p>
      <w:pPr>
        <w:spacing w:after="120"/>
        <w:jc w:val="right"/>
      </w:pPr>
      <w:r>
        <w:rPr>
          <w:rFonts w:ascii="Arial" w:hAnsi="Arial"/>
          <w:color w:val="1E293B"/>
          <w:sz w:val="21"/>
        </w:rPr>
        <w:t>إن التطورات المتسارعة في معايير التدقيق والأنظمة الرقابية لعام 2026 تعني أن **"الانتظار والترقب" لم يعد خياراً مطروحاً**.</w:t>
      </w:r>
    </w:p>
    <w:p>
      <w:pPr>
        <w:spacing w:after="120"/>
        <w:jc w:val="right"/>
      </w:pPr>
      <w:r>
        <w:rPr>
          <w:rFonts w:ascii="Arial" w:hAnsi="Arial"/>
          <w:color w:val="1E293B"/>
          <w:sz w:val="21"/>
        </w:rPr>
        <w:t>*   **للمدققين الداخليين:** عدم تبني المعايير العالمية الجديدة (IIA Standards) يهدد مصداقية الإدارة أمام لجنة المراجعة والجهات التنظيمية الخارجية.</w:t>
      </w:r>
    </w:p>
    <w:p>
      <w:pPr>
        <w:spacing w:after="120"/>
        <w:jc w:val="right"/>
      </w:pPr>
      <w:r>
        <w:rPr>
          <w:rFonts w:ascii="Arial" w:hAnsi="Arial"/>
          <w:color w:val="1E293B"/>
          <w:sz w:val="21"/>
        </w:rPr>
        <w:t>*   **لإدارة المخاطر:** الاعتماد على تقييمات المخاطر السنوية التقليدية يجعل المؤسسة عمياء أمام المخاطر السيبرانية والجيوسياسية سريعة التطور.</w:t>
      </w:r>
    </w:p>
    <w:p>
      <w:pPr>
        <w:spacing w:after="120"/>
        <w:jc w:val="right"/>
      </w:pPr>
      <w:r>
        <w:rPr>
          <w:rFonts w:ascii="Arial" w:hAnsi="Arial"/>
          <w:color w:val="1E293B"/>
          <w:sz w:val="21"/>
        </w:rPr>
        <w:t>*   **للإدارة التنفيذية:** الاستثمار في أدوات الرقابة المستمرة وحوكمة الذكاء الاصطناعي ليس تكلفة إضافية، بل هو درع واقٍ يحمي القيمة السوقية للمؤسسة ويمنع الغرامات المالية الجسيمة التي قد تعصف بالسمعة المؤسسية.</w:t>
      </w:r>
    </w:p>
    <w:p>
      <w:pPr>
        <w:spacing w:after="120"/>
        <w:jc w:val="right"/>
      </w:pPr>
      <w:r>
        <w:rPr>
          <w:rFonts w:ascii="Arial" w:hAnsi="Arial"/>
          <w:color w:val="1E293B"/>
          <w:sz w:val="21"/>
        </w:rPr>
        <w:t>---</w:t>
      </w:r>
    </w:p>
    <w:p>
      <w:pPr>
        <w:spacing w:before="360" w:after="120"/>
        <w:jc w:val="right"/>
      </w:pPr>
      <w:r>
        <w:rPr>
          <w:rFonts w:ascii="Arial" w:hAnsi="Arial"/>
          <w:b/>
          <w:color w:val="0F172A"/>
          <w:sz w:val="36"/>
        </w:rPr>
        <w:t>Recommended Reading</w:t>
      </w:r>
    </w:p>
    <w:p>
      <w:pPr>
        <w:spacing w:after="120"/>
        <w:jc w:val="right"/>
      </w:pPr>
      <w:r>
        <w:rPr>
          <w:rFonts w:ascii="Arial" w:hAnsi="Arial"/>
          <w:color w:val="1E293B"/>
          <w:sz w:val="21"/>
        </w:rPr>
        <w:t>إليكم أبرز التقارير والدراسات الصادرة عن الجهات المهنية المعتمدة والتي تم الاعتماد عليها في هذا العدد:</w:t>
      </w:r>
    </w:p>
    <w:p>
      <w:pPr>
        <w:spacing w:after="120"/>
        <w:jc w:val="right"/>
      </w:pPr>
      <w:r>
        <w:rPr>
          <w:rFonts w:ascii="Arial" w:hAnsi="Arial"/>
          <w:color w:val="1E293B"/>
          <w:sz w:val="21"/>
        </w:rPr>
        <w:t>1.  [المعايير العالمية للتدقيق الداخلي - معهد المدققين الداخليين الدولي (IIA)](https://www.theiia.org/)</w:t>
      </w:r>
    </w:p>
    <w:p>
      <w:pPr>
        <w:spacing w:after="120"/>
        <w:jc w:val="right"/>
      </w:pPr>
      <w:r>
        <w:rPr>
          <w:rFonts w:ascii="Arial" w:hAnsi="Arial"/>
          <w:color w:val="1E293B"/>
          <w:sz w:val="21"/>
        </w:rPr>
        <w:t>2.  [إرشادات الرقابة الداخلية على التقارير غير المالية - لجنة المؤسسات الراعية (COSO)](https://www.coso.org/)</w:t>
      </w:r>
    </w:p>
    <w:p>
      <w:pPr>
        <w:spacing w:after="120"/>
        <w:jc w:val="right"/>
      </w:pPr>
      <w:r>
        <w:rPr>
          <w:rFonts w:ascii="Arial" w:hAnsi="Arial"/>
          <w:color w:val="1E293B"/>
          <w:sz w:val="21"/>
        </w:rPr>
        <w:t>3.  [أوراق عمل حوكمة القطاع العام ومكافحة الفساد - منظمة التعاون الاقتصادي والتنمية (OECD)](https://www.oecd.org/governance/)</w:t>
      </w:r>
    </w:p>
    <w:p>
      <w:pPr>
        <w:spacing w:after="120"/>
        <w:jc w:val="right"/>
      </w:pPr>
      <w:r>
        <w:rPr>
          <w:rFonts w:ascii="Arial" w:hAnsi="Arial"/>
          <w:color w:val="1E293B"/>
          <w:sz w:val="21"/>
        </w:rPr>
        <w:t>4.  [دليل تدقيق الذكاء الاصطناعي في الأجهزة الحكومية - مكتب المحاسبة الحكومي الأمريكي (GAO)](https://www.gao.gov)</w:t>
      </w:r>
    </w:p>
    <w:p>
      <w:pPr>
        <w:spacing w:after="120"/>
        <w:jc w:val="right"/>
      </w:pPr>
      <w:r>
        <w:rPr>
          <w:rFonts w:ascii="Arial" w:hAnsi="Arial"/>
          <w:color w:val="1E293B"/>
          <w:sz w:val="21"/>
        </w:rPr>
        <w:t>5.  [التكنولوجيا وجودة التدقيق في العصر الرقمي - الاتحاد الدولي للمحاسبين (IFAC)](https://www.ifac.org/)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