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 Intelligence Weekly Briefing</w:t>
      </w:r>
    </w:p>
    <w:p>
      <w:r>
        <w:t># Executive Summary</w:t>
      </w:r>
    </w:p>
    <w:p>
      <w:r>
        <w:t>This week’s audit and governance landscape is dominated by three critical developments that demand the immediate attention of Chief Audit Executives (CAEs) and risk leaders:</w:t>
      </w:r>
    </w:p>
    <w:p>
      <w:r>
        <w:t>1. **The IIA Global Internal Audit Standards Enforcement:** With the transition period fully concluded, organizations are now facing their first wave of External Quality Assessments (EQAs) under the new Standards. Non-conformance is no longer an option; boards are demanding proof of alignment, particularly regarding Domain 3 (Governing the Internal Audit Function).</w:t>
        <w:br/>
        <w:t>2. **AI Governance and Algorithmic Accountability:** The rapid adoption of generative AI and automated decision-making systems has triggered joint guidance from COSO and major professional bodies. Auditors must shift from auditing "AI projects" to auditing "AI governance frameworks" (such as ISO/IEC 42001).</w:t>
        <w:br/>
        <w:t>3. **Public Sector Digitalization &amp; DPI:** The World Bank and INTOSAI have accelerated frameworks for auditing Digital Public Infrastructure (DPI). Public sector auditors must transition from traditional ex-post compliance to real-time, agile assurance of digital transformation initiatives.</w:t>
      </w:r>
    </w:p>
    <w:p>
      <w:r>
        <w:t>---</w:t>
      </w:r>
    </w:p>
    <w:p>
      <w:r>
        <w:t># Internal Audit</w:t>
      </w:r>
    </w:p>
    <w:p>
      <w:r>
        <w:t>### The Transition to the New Global Internal Audit Standards (المعايير العالمية للتدقيق الداخلي)</w:t>
        <w:br/>
        <w:t>As organizations navigate the mandatory implementation of the IIA’s Global Internal Audit Standards, the focus has shifted from gap analysis to operational reality. The most significant friction point remains **Domain 3: Governing the Internal Audit Function**, which requires explicit board-level oversight and direct interaction.</w:t>
      </w:r>
    </w:p>
    <w:p>
      <w:r>
        <w:t>#### 💡 Practical Quick Win: Auditing Board-CAE Alignment</w:t>
        <w:br/>
        <w:t>To ensure compliance with Domain 3, execute this 3-step testing procedure during your next audit committee cycle:</w:t>
        <w:br/>
        <w:t>1. **Mandate Verification:** Review the Audit Committee Charter against the actual activities recorded in the committee’s minutes over the past 12 months. Verify if the board has formally approved the internal audit charter, the risk-based audit plan, and the resource plan.</w:t>
        <w:br/>
        <w:t>2. **Direct Communication Protocol:** Document and test the mechanism for private sessions between the CAE and the Audit Committee Chair. Ensure these sessions are scheduled, minuted (where appropriate), and occur without executive management present.</w:t>
        <w:br/>
        <w:t>3. **Performance Assessment:** Verify that the Audit Committee has formally conducted the CAE’s annual performance evaluation and approved their compensation, rather than delegating this entirely to the CEO or HR.</w:t>
      </w:r>
    </w:p>
    <w:p>
      <w:r>
        <w:t>---</w:t>
      </w:r>
    </w:p>
    <w:p>
      <w:r>
        <w:t># Internal Controls</w:t>
      </w:r>
    </w:p>
    <w:p>
      <w:r>
        <w:t>### COSO &amp; Technology-Driven Control Environments (نظام الرقابة الداخلية - كوزو)</w:t>
        <w:br/>
        <w:t>Modern internal control systems are increasingly reliant on automated controls, continuous monitoring, and AI-driven decision engines. Traditional manual sample testing is no longer sufficient to provide reasonable assurance.</w:t>
      </w:r>
    </w:p>
    <w:p>
      <w:r>
        <w:t>#### 🕰️ Best Practice Flashback: COSO Principle 11</w:t>
        <w:br/>
        <w:t>**COSO Principle 11** states: *"The organization selects and develops general control activities over technology to support the achievement of objectives."*</w:t>
      </w:r>
    </w:p>
    <w:p>
      <w:r>
        <w:t xml:space="preserve">In today's environment, this principle must be applied to **Automated Control Drift**. When software updates, API integrations, or machine learning models change, controls can "drift" or fail silently. </w:t>
        <w:br/>
        <w:t>* **Modern Application:** Auditors must evaluate whether management has established a robust **Change Management Control** that includes regression testing for automated controls and continuous monitoring of automated transaction matching rules.</w:t>
      </w:r>
    </w:p>
    <w:p>
      <w:r>
        <w:t>---</w:t>
      </w:r>
    </w:p>
    <w:p>
      <w:r>
        <w:t># Governance</w:t>
      </w:r>
    </w:p>
    <w:p>
      <w:r>
        <w:t>### Board Oversight of Digital Ethics and ESG (الحوكمة المؤسسية وأخلاقيات التحول الرقمي)</w:t>
        <w:br/>
        <w:t>The OECD and IFAC have highlighted a growing governance gap: boards are struggling to oversee the ethical implications of rapid digital transformation and ESG reporting metrics. Governance frameworks must evolve to treat digital ethics as a fiduciary duty.</w:t>
      </w:r>
    </w:p>
    <w:p>
      <w:r>
        <w:t>* **Key Focus:** Boards must establish clear parameters for ethical AI usage, data privacy, and algorithmic bias.</w:t>
        <w:br/>
        <w:t>* **Audit Action:** Internal Audit should conduct a governance review of the organization's **Digital Ethics Charter** (or lack thereof). Assess whether there is a clear escalation path for ethical concerns arising from automated data profiling or customer segmentation algorithms.</w:t>
      </w:r>
    </w:p>
    <w:p>
      <w:r>
        <w:t>---</w:t>
      </w:r>
    </w:p>
    <w:p>
      <w:r>
        <w:t># Risk Management</w:t>
      </w:r>
    </w:p>
    <w:p>
      <w:r>
        <w:t>### Geopolitical Volatility and Supply Chain Resilience (إدارة المخاطر المؤسسية ومرونة سلاسل الإمداد)</w:t>
        <w:br/>
        <w:t>According to recent risk insights from Deloitte and PwC, geopolitical fragmentation remains the top threat to corporate resilience. Traditional Enterprise Risk Management (ERM) registers that treat "supply chain disruption" as a static risk are failing.</w:t>
      </w:r>
    </w:p>
    <w:p>
      <w:r>
        <w:t>* **The Shift:** ERM must transition to **Dynamic Risk Modeling**.</w:t>
        <w:br/>
        <w:t>* **Audit Approach:** Evaluate the organization's scenario planning capabilities. Does management run stress tests against specific geopolitical events (e.g., trade route closures, localized regulatory shifts)? Verify if Key Risk Indicators (KRIs) are linked to automated triggers that prompt immediate operational workarounds.</w:t>
      </w:r>
    </w:p>
    <w:p>
      <w:r>
        <w:t>---</w:t>
      </w:r>
    </w:p>
    <w:p>
      <w:r>
        <w:t># Public Sector Reform</w:t>
      </w:r>
    </w:p>
    <w:p>
      <w:r>
        <w:t>### Auditing Digital Public Infrastructure (DPI) (إصلاح القطاع العام والأجهزة العليا للرقابة)</w:t>
        <w:br/>
        <w:t>In alignment with INTOSAI and World Bank initiatives, public sector reform is heavily focused on Digital Public Infrastructure (DPI)—including digital identity systems, electronic payment gateways, and data exchange platforms.</w:t>
      </w:r>
    </w:p>
    <w:p>
      <w:r>
        <w:t>* **The Challenge:** Supreme Audit Institutions (SAIs - الأجهزة العليا للرقابة المالية والمحاسبة) are moving away from paper-based compliance.</w:t>
        <w:br/>
        <w:t>* **Modernization Focus:** Public sector auditors must develop capabilities in **Data-First Auditing**. This involves accessing government databases directly via secure APIs to perform continuous auditing of social benefit distributions, tax collections, and procurement processes, thereby reducing fraud and leakage in real-time.</w:t>
      </w:r>
    </w:p>
    <w:p>
      <w:r>
        <w:t>---</w:t>
      </w:r>
    </w:p>
    <w:p>
      <w:r>
        <w:t># Artificial Intelligence</w:t>
      </w:r>
    </w:p>
    <w:p>
      <w:r>
        <w:t>### AI &amp; Technology Audit Lab (الذكاء الاصطناعي في التدقيق)</w:t>
        <w:br/>
        <w:t>Auditors must leverage AI to audit AI, as well as to streamline traditional audit workflows.</w:t>
      </w:r>
    </w:p>
    <w:p>
      <w:r>
        <w:t>#### 🤖 Practical Micro-Use Case: Automated Policy-to-Procedure Alignment</w:t>
        <w:br/>
        <w:t>When auditing compliance, auditors often spend days comparing high-level corporate policies with granular department procedures to identify gaps. You can use an LLM to accelerate this process.</w:t>
      </w:r>
    </w:p>
    <w:p>
      <w:r>
        <w:t>**The Prompt for Auditors:**</w:t>
        <w:br/>
        <w:t>```text</w:t>
        <w:br/>
        <w:t xml:space="preserve">Act as an expert Internal Audit Director. I will provide you with two documents: </w:t>
        <w:br/>
        <w:t xml:space="preserve">1) The Corporate Cyber Security Policy (Policy) </w:t>
        <w:br/>
        <w:t>2) The IT Department Standard Operating Procedures (SOP).</w:t>
      </w:r>
    </w:p>
    <w:p>
      <w:r>
        <w:t xml:space="preserve">Analyze both documents and generate a gap analysis report in a markdown table. </w:t>
        <w:br/>
        <w:t>The table must include:</w:t>
        <w:br/>
        <w:t>- Policy Requirement: The specific clause/requirement in the Policy.</w:t>
        <w:br/>
        <w:t>- SOP Alignment: How/where the SOP addresses this requirement (or state "GAP IDENTIFIED" if missing).</w:t>
        <w:br/>
        <w:t>- Risk Rating: High, Medium, or Low based on the severity of the gap.</w:t>
        <w:br/>
        <w:t>- Recommended Audit Test Procedure: A specific step the auditor should take to verify compliance.</w:t>
      </w:r>
    </w:p>
    <w:p>
      <w:r>
        <w:t>Focus on precision and do not assume alignment unless explicitly stated in the text.</w:t>
        <w:br/>
        <w:t>```</w:t>
      </w:r>
    </w:p>
    <w:p>
      <w:r>
        <w:t>---</w:t>
      </w:r>
    </w:p>
    <w:p>
      <w:r>
        <w:t># Why It Matters</w:t>
      </w:r>
    </w:p>
    <w:p>
      <w:r>
        <w:t>For CAEs and risk leaders, the developments of this week underscore a fundamental truth: **the speed of risk has outpaced traditional audit cycles.**</w:t>
      </w:r>
    </w:p>
    <w:p>
      <w:r>
        <w:t xml:space="preserve">* **The "So What?":** If your audit plan is still static, if your team is not using AI-assisted analytical tools, and if you have not aligned your methodology with the new IIA Standards, your function risks becoming irrelevant. </w:t>
        <w:br/>
        <w:t>* **The Bottom Line:** Boards do not just want to know what went wrong last year; they require predictive assurance on whether the organization's governance, risk management, and control environments are resilient enough to survive tomorrow's disruptions.</w:t>
      </w:r>
    </w:p>
    <w:p>
      <w:r>
        <w:t>---</w:t>
      </w:r>
    </w:p>
    <w:p>
      <w:r>
        <w:t># Recommended Reading</w:t>
      </w:r>
    </w:p>
    <w:p>
      <w:r>
        <w:t>For deeper insights and authoritative guidance, consult the following publications:</w:t>
      </w:r>
    </w:p>
    <w:p>
      <w:r>
        <w:t>1. **The Institute of Internal Auditors (IIA):** [Global Internal Audit Standards](https://www.theiia.org/en/standards/what-are-the-standards/global-internal-audit-standards/)</w:t>
        <w:br/>
        <w:t>2. **Committee of Sponsoring Organizations (COSO):** [Guidance on Internal Control Over Financial Reporting and Technology](https://www.coso.org/guidance-on-ic/)</w:t>
        <w:br/>
        <w:t>3. **INTOSAI Development Initiative (IDI):** [SAI PMF and Public Sector Audit Modernization](https://www.intosai.org/)</w:t>
        <w:br/>
        <w:t>4. **OECD Public Governance:** [Policy Framework for Sound Public Governance](https://www.oecd.org/governance/)</w:t>
        <w:br/>
        <w:t>5. **IFAC Governance &amp; Ethics:** [International Code of Ethics for Professional Accountants](https://www.ifac.org/)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