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11  •  2026-10-26</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تقنيات جديدة في التدقيق الداخلي</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تقنيات مثل الذكاء الاصطناعي والتحليلات الرقمية تتغير وتطور في مجال التدقيق الداخلي، مما يفتح آفاقًا جديدة للابتكار والكفاءة. من المهم أن يفهم الموظفون الجدد والمتوسطون هذه التطورات ليعززوا كفاءتهم المهنية.</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تطبيق الذكاء الاصطناعي في التدقيق الداخلي يقلل من العملoad بنسبة 50% إلى 80%.</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التحليلات الرقمية تساعد في تحسين دقة التقييمات.</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التدقيق الداخلي يتجه نحو الرقابة المستمرة والبيانات المدفوعة.</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50% - 80%</w:t>
            </w:r>
          </w:p>
          <w:p>
            <w:pPr>
              <w:bidi/>
              <w:spacing w:before="120" w:line="312" w:lineRule="auto"/>
            </w:pPr>
            <w:r>
              <w:rPr>
                <w:rFonts w:ascii="Carlito" w:hAnsi="Carlito" w:cs="Amiri" w:eastAsia="Amiri"/>
                <w:b w:val="0"/>
                <w:i w:val="0"/>
                <w:color w:val="1C2430"/>
                <w:sz w:val="22"/>
              </w:rPr>
              <w:t>استخدام الذكاء الاصطناعي في التدقيق الداخلي يمكن أن يقلل من العملoad بنسبة 50% إلى 80%، مما يزيد من الكفاءة ويقلل من التكاليف.</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SCCE Official Site</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Exposure Draft—Snapshot Practice Statement 1 Nature-related Disclosures</w:t>
            </w:r>
            <w:r>
              <w:rPr>
                <w:rFonts w:ascii="Carlito" w:hAnsi="Carlito" w:cs="Amiri" w:eastAsia="Amiri"/>
                <w:b/>
                <w:i w:val="0"/>
                <w:color w:val="8A6D1A"/>
                <w:sz w:val="19"/>
              </w:rPr>
              <w:t xml:space="preserve">  [International Sustainability Standards Board (ISSB) | مسودة للتعليق]</w:t>
            </w:r>
          </w:p>
          <w:p>
            <w:pPr>
              <w:bidi/>
              <w:spacing w:before="60"/>
            </w:pPr>
            <w:r>
              <w:rPr>
                <w:rFonts w:ascii="Carlito" w:hAnsi="Carlito" w:cs="Amiri" w:eastAsia="Amiri"/>
                <w:b w:val="0"/>
                <w:i/>
                <w:color w:val="5B6472"/>
                <w:sz w:val="18"/>
              </w:rPr>
              <w:t>الإصدار: 2026  |  آخر أجل للتعليق: 19 February 2027</w:t>
            </w:r>
          </w:p>
          <w:p>
            <w:pPr>
              <w:bidi/>
              <w:spacing w:before="120" w:line="312" w:lineRule="auto"/>
            </w:pPr>
            <w:r>
              <w:rPr>
                <w:rFonts w:ascii="Carlito" w:hAnsi="Carlito" w:cs="Amiri" w:eastAsia="Amiri"/>
                <w:b w:val="0"/>
                <w:i w:val="0"/>
                <w:color w:val="1C2430"/>
                <w:sz w:val="21"/>
              </w:rPr>
              <w:t>تقترح هذه المسودة استخدام معايير جديدة للإفصاح عن البيانات المتعلقة بالبيئة، مما يساعد الشركات على تحسين تقاريرها البيئية.</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سيساعد هذا في تحسين شفافية الشركات حول تأثيرها على البيئة.</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IFRS</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عناصر الملاحظة الرقابية (الـ 5C)</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الخطأ الأشيع عند المبتدئين في عنصر "السبب": الخلط بين السبب الجذري والعرض الظاهر. "الموظف لم يتّبع الإجراء" عرض، لا سبب — السؤال الحقيقي هو لماذا لم يتّبعه: هل الإجراء غير واضح؟ غير عملي في الواقع اليومي؟ غير مُدرَّب عليه أصلاً؟ غير مُطبَّق من الإدارة نفسها بشكل متسق؟</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"السبب: الموظفون لا يلتزمون بإجراءات الموافقة على المصروفات."</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"السبب: نموذج طلب الموافقة الحالي يتطلب تعبئة 14 حقلاً يدويًا لكل معاملة مهما كانت صغيرة، ما يدفع الموظفين لتجنب استخدامه للمعاملات الصغيرة العاجلة رغم معرفتهم بوجوده."</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الصياغة الأولى تُحمِّل الموظفين المسؤولية الكاملة دون فهم لماذا يتصرفون هكذا فعليًا، وتوصية مبنية عليها ("ذكّروهم بالإجراء") لن تحل شيئًا. الصياغة الثانية تكشف سببًا تصميميًا قابلاً للإصلاح فعليًا (تبسيط النموذج)، لا مجرد تكرار التذكير بإجراء غير عملي أصلاً.</w:t>
            </w:r>
          </w:p>
        </w:tc>
      </w:tr>
    </w:tbl>
    <w:p>
      <w:pPr>
        <w:spacing w:after="160"/>
      </w:pPr>
    </w:p>
    <w:p>
      <w:pPr>
        <w:bidi/>
      </w:pPr>
      <w:r>
        <w:rPr>
          <w:rFonts w:ascii="Carlito" w:hAnsi="Carlito" w:cs="Amiri" w:eastAsia="Amiri"/>
          <w:b/>
          <w:i w:val="0"/>
          <w:color w:val="13294B"/>
          <w:sz w:val="26"/>
        </w:rPr>
        <w:t>🧠 ومضة إدارية — إدارة الأداء المؤسسي وبطاقة الأداء المتوازن (Performance Management &amp; the Balanced Scorecard)</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طوّر Robert Kaplan و David Norton بطاقة الأداء المتوازن (Balanced Scorecard) في التسعينيات كرد مباشر على مشكلة واسعة الانتشار: الاكتفاء بالحكم على أداء المؤسسة من زاوية مالية بحتة فقط. المشكلة أن الأداء المالي المتفوق اليوم قد يكون نتيجة "أكل" قدرات المؤسسة على النمو غدًا — مثال بسيط: تقليص ميزانية التدريب يحسّن الأرباح هذا الربع فورًا، لكنه يُضعف قدرة الفريق على المدى المتوسط.</w:t>
            </w:r>
          </w:p>
          <w:p>
            <w:pPr>
              <w:bidi/>
              <w:spacing w:line="312" w:lineRule="auto" w:before="120"/>
            </w:pPr>
            <w:r>
              <w:rPr>
                <w:rFonts w:ascii="Carlito" w:hAnsi="Carlito" w:cs="Amiri" w:eastAsia="Amiri"/>
                <w:b w:val="0"/>
                <w:i w:val="0"/>
                <w:color w:val="1C2430"/>
                <w:sz w:val="22"/>
              </w:rPr>
              <w:t>لهذا تنظر البطاقة للأداء من أربعة أبعاد متوازنة معًا، لا بُعد واحد منعزل: البُعد المالي (هل نحقق نتائج مالية جيدة؟)، بُعد العملاء أو المستفيدين (هل هم راضون فعلاً؟)، بُعد العمليات الداخلية (هل عملياتنا فعالة وكفؤة؟)، وبُعد التعلّم والنمو (هل نستثمر في قدرات الغد: تدريب، أنظمة، ثقافة مؤسسية؟). الفكرة المحورية: قياس الأبعاد الأربعة معًا يكشف مقايضات خفية يخفيها التركيز على بُعد واحد فقط.</w:t>
            </w:r>
          </w:p>
          <w:p>
            <w:pPr>
              <w:bidi/>
              <w:spacing w:line="312" w:lineRule="auto" w:before="120"/>
            </w:pPr>
            <w:r>
              <w:rPr>
                <w:rFonts w:ascii="Carlito" w:hAnsi="Carlito" w:cs="Amiri" w:eastAsia="Amiri"/>
                <w:b w:val="0"/>
                <w:i w:val="0"/>
                <w:color w:val="1C2430"/>
                <w:sz w:val="22"/>
              </w:rPr>
              <w:t>مثال عملي: شركة خدمات حققت نموًا ماليًا ممتازًا لثلاث سنوات متتالية عبر تقليص متكرر لميزانية التدريب والتوظيف. مؤشرات البُعد المالي كانت ممتازة طوال الفترة. لكن مؤشرات بُعد التعلّم والنمو (معدل دوران الموظفين، ساعات التدريب) كانت تتدهور بصمت في الخلفية طوال نفس الفترة — وحين انفجرت المشكلة (موجة استقالات جماعية في السنة الرابعة)، كان الأداء المالي هو آخر من يكتشف الأزمة، رغم أن بُعد التعلّم والنمو كان يُنذر بها منذ سنتين.</w:t>
            </w:r>
          </w:p>
          <w:p>
            <w:pPr>
              <w:bidi/>
              <w:spacing w:line="312" w:lineRule="auto" w:before="120"/>
            </w:pPr>
            <w:r>
              <w:rPr>
                <w:rFonts w:ascii="Carlito" w:hAnsi="Carlito" w:cs="Amiri" w:eastAsia="Amiri"/>
                <w:b w:val="0"/>
                <w:i w:val="0"/>
                <w:color w:val="1C2430"/>
                <w:sz w:val="22"/>
              </w:rPr>
              <w:t>هذا بالضبط الدرس لأي مدقق: لا تحكم على "صحة" مؤسسة من رقم مالي واحد جيد.</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عند تقييم أداء أي وحدة، اطلب مؤشرات من الأبعاد الأربعة معًا، لا البُعد المالي وحده مهما بدا مطمئنًا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ابحث عن روابط سبب-نتيجة بين الأبعاد: هل تحسّن مالي حالي يأتي على حساب بُعد التعلّم والنمو مستقبلاً؟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بُعد التعلّم والنمو (تدريب، أنظمة، ثقافة) هو الأبطأ في إظهار أثره والأسهل في إهماله — راقبوه بعناية خاصة</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الشك المهني  </w:t>
            </w:r>
            <w:r>
              <w:rPr>
                <w:rFonts w:ascii="Carlito" w:hAnsi="Carlito" w:cs="Amiri" w:eastAsia="Amiri"/>
                <w:b w:val="0"/>
                <w:i/>
                <w:color w:val="E8D9A0"/>
                <w:sz w:val="22"/>
              </w:rPr>
              <w:t>(Professional Skepticism)</w:t>
            </w:r>
          </w:p>
          <w:p>
            <w:pPr>
              <w:bidi/>
              <w:spacing w:before="120" w:line="312" w:lineRule="auto"/>
            </w:pPr>
            <w:r>
              <w:rPr>
                <w:rFonts w:ascii="Carlito" w:hAnsi="Carlito" w:cs="Amiri" w:eastAsia="Amiri"/>
                <w:b w:val="0"/>
                <w:i w:val="0"/>
                <w:color w:val="FFFFFF"/>
                <w:sz w:val="21"/>
              </w:rPr>
              <w:t>موقف ذهني يتضمن عقلية متسائلة ويقظة تجاه أي ظرف قد يشير لخطأ أو غش، دون افتراض حسن نية أو سوء نية مسبقًا في أي دليل تدقيق تراه.</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بدل قبول تفسير الإدارة "هذا خطأ نظام معروف ومتكرر" كما هو، اطلب دليلاً موثقًا يثبت أن هذا الخطأ فعلاً نظامي ومتكرر ومعروف مسبقًا، لا تفسيرًا لفظيًا فقط.</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[Podcast | عالٍ]</w:t>
            </w:r>
          </w:p>
          <w:p>
            <w:pPr>
              <w:spacing w:before="40"/>
              <w:jc w:val="right"/>
              <w:bidi/>
            </w:pPr>
            <w:r>
              <w:rPr>
                <w:rFonts w:ascii="Carlito" w:hAnsi="Carlito" w:cs="Amiri" w:eastAsia="Amiri"/>
                <w:b w:val="0"/>
                <w:i/>
                <w:color w:val="E8D9A0"/>
                <w:sz w:val="17"/>
              </w:rPr>
              <w:t>🎓 المهارة المكتسبة: تحليل تقارير COSO</w:t>
            </w:r>
          </w:p>
        </w:tc>
      </w:tr>
    </w:tbl>
    <w:p>
      <w:pPr>
        <w:bidi/>
        <w:spacing w:before="80"/>
      </w:pPr>
      <w:r>
        <w:rPr>
          <w:rFonts w:ascii="Carlito" w:hAnsi="Carlito" w:cs="Amiri" w:eastAsia="Amiri"/>
          <w:b/>
          <w:i w:val="0"/>
          <w:color w:val="13294B"/>
          <w:sz w:val="24"/>
        </w:rPr>
        <w:t>The Future of Internal Audit: AI, Automation, and Risk Sensing</w:t>
      </w:r>
    </w:p>
    <w:p>
      <w:pPr>
        <w:bidi/>
        <w:spacing w:line="312" w:lineRule="auto" w:after="120"/>
      </w:pPr>
      <w:r>
        <w:rPr>
          <w:rFonts w:ascii="Carlito" w:hAnsi="Carlito" w:cs="Amiri" w:eastAsia="Amiri"/>
          <w:b w:val="0"/>
          <w:i w:val="0"/>
          <w:color w:val="1C2430"/>
          <w:sz w:val="22"/>
        </w:rPr>
        <w:t>يتحدث Amy Fread عن كيفية تأثير الذكاء الاصطناعي والتحليلات الرقمية على التدقيق الداخلي، وكيف يمكن للمدققين أن يصبحوا أكثر استعدادًا للتحديات المستقبلية.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يحتاج الموظفون الجدد والمتوسطون إلى فهم كيفية تأثير التقنيات الجديدة على مهامهم.</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استمع إلى هذا البودكاست وركز على كيفية استخدام الذكاء الاصطناعي والتحليلات الرقمية في التدقيق الداخلي.</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IIA Podcast</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تكامل نظام تخطيط موارد المؤسسة (ERP) مع العمليات الفعلية على الأرض</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النظام المُطبَّق يعكس فعليًا كيف يعمل الناس، لا أن الناس يلتفّون حوله بحلول يدوية موازية (Shadow Systems) لأنه لا يخدم احتياجهم الفعلي.</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توجد جداول بيانات (Excel) أو أنظمة موازية غير رسمية يستخدمها الموظفون فعليًا بدل الاعتماد الكامل على النظام الرسمي؟ ولماذا؟</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كم من سير العمل الفعلي (Workflow) يمر فعلاً عبر النظام بالكامل من البداية للنهاية دون أي خطوة يدوية خارجه؟</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صلاحيات الوصول في النظام تعكس فعليًا الهيكل التنظيمي الحالي، أم أنها متراكمة من صلاحيات قديمة لم تُراجَع؟</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ما مستوى رضا المستخدمين الفعليين للنظام، وما أكثر شكوى متكررة تصل لقسم الدعم التقني؟</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أقسام كاملة تعتمد بشكل أساسي على جداول Excel موازية لمهام يُفترض أن يؤديها النظام الرسمي المُكلِّف، أو صلاحيات وصول واسعة جدًا مُبرَّرة بـ"هكذا اعتدنا" بلا مراجعة حديثة موثقة.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فعالية آليات تفويض الصلاحيات المالية والإدارية</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جدول تفويض الصلاحيات (Delegation of Authority Matrix) مُطبَّق فعليًا كما هو موثق، لا كوثيقة أرشيفية لا يرجع لها أحد عمليًا.</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جدول تفويض الصلاحيات محدَّث فعلاً بآخر تغييرات الهيكل التنظيمي، أم يحمل مسميات وظيفية قديمة؟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عند فحص عينة من المعاملات المالية الكبرى، هل الموافقات الفعلية مطابقة تمامًا لما ينص عليه الجدول من حيث المستوى والحد الأقصى؟</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حالات تفويض مؤقت (غياب صاحب الصلاحية الأصلي بإجازة مثلاً) — هل بآلية موثقة أم بترتيب غير رسمي؟</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توجد حالات موافقات "بأثر رجعي" (تُوثَّق بعد تنفيذ المعاملة فعليًا لا قبلها)؟ وكم مرة تكررت؟</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موافقات متكررة موثقة بتاريخ لاحق لتاريخ تنفيذ المعاملة الفعلي (موافقة بأثر رجعي)، أو حد صلاحية يبدو دومًا "يكاد لا يُتجاوَز" بمبالغ أقل بقليل من الحد المسموح بشكل متكرر ومريب.</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مبدأ MECE (شامل غير متداخل - Mutually Exclusive, Collectively Exhaustive): يفكك المستشارون المتمرسون أي مشكلة معقدة إلى عناصر لا تتقاطع فيما بينها وتغطي الصورة كاملة. مثال: عند تحليل أسباب تأخر مشروع، تصنيف "مشاكل تقنية / مشاكل تعاقدية / مشاكل موارد بشرية" أوضح من خليط غير منظم من الملاحظات المتفرقة.</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في مرة قادمة تواجه مشكلة معقدة (لماذا يتكرر خطأ معين؟)، ارسم شجرة تفكيك بسيطة قبل البحث عن الحل مباشرة — تأكد أن فروعها لا تتكرر معنويًا ولا تترك فجوة واضحة.</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حدود رقمية صحية: أوقف إشعارات العمل بعد ساعات الدوام قدر الإمكان، ولو لساعتين فقط في المساء. الإتاحة الدائمة تبدو مسؤولية مهنية جيدة، لكنها عمليًا تستنزف قدرتك على التركيز العميق حين تحتاجه فعلاً في اليوم التالي.</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0">
        <w:r>
          <w:rPr>
            <w:rFonts w:ascii="Carlito" w:hAnsi="Carlito" w:cs="Amiri" w:eastAsia="Amiri"/>
            <w:sz w:val="21"/>
            <w:b/>
            <w:u w:val="single"/>
            <w:color w:val="C9A227"/>
          </w:rPr>
          <w:t>The Compliance Illusion: Why Passing an Audit Doesn’t Mean You’re Secure</w:t>
        </w:r>
      </w:hyperlink>
      <w:r>
        <w:rPr>
          <w:rFonts w:ascii="Carlito" w:hAnsi="Carlito" w:cs="Amiri" w:eastAsia="Amiri"/>
          <w:b w:val="0"/>
          <w:i w:val="0"/>
          <w:color w:val="5B6472"/>
          <w:sz w:val="19"/>
        </w:rPr>
        <w:t xml:space="preserve">  (SCCE Official Site)</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Antifragile — Nassim Nicholas Taleb</w:t>
      </w:r>
    </w:p>
    <w:p>
      <w:pPr>
        <w:bidi/>
      </w:pPr>
      <w:r>
        <w:rPr>
          <w:rFonts w:ascii="Carlito" w:hAnsi="Carlito" w:cs="Amiri" w:eastAsia="Amiri"/>
          <w:b w:val="0"/>
          <w:i/>
          <w:color w:val="5B6472"/>
          <w:sz w:val="21"/>
        </w:rPr>
        <w:t>يقدّم إطارًا فكريًا لفهم المخاطر النادرة شديدة الأثر — مفيد لتصميم أنظمة مخاطر لا تكتفي بالتخطيط للسيناريوهات المعتادة فقط.</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في سجل المخاطر القادم الذي تراجعونه، ابحثوا تحديدًا عن مخاطرة "نادرة لكن كارثية" مُهمَلة لأنها بدت غير محتملة إحصائيًا.</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orporatecompliance.org/news-and-insights/articles/compliance-illusion-why-passing-an-audit-doesnt-mean-youre-secure" TargetMode="External"/><Relationship Id="rId11" Type="http://schemas.openxmlformats.org/officeDocument/2006/relationships/hyperlink" Target="https://www.ifrs.org/content/dam/ifrs/project/nature-related-disclosures/issb-ed-snapshot-2026-1-ps-nature-related-disclosures.pdf" TargetMode="External"/><Relationship Id="rId12" Type="http://schemas.openxmlformats.org/officeDocument/2006/relationships/hyperlink" Target="https://www.theiia.org/en/content/podcast/all-things-internal-audit/2026/ep-0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