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8  •  2026-10-05</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تقنية الذكاء الاصطناعي تغير وجه التدقيق الداخلي</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نرى كيف أن تقنية الذكاء الاصطناعي تتطور بسرعة، مما يؤثر بشكل كبير على كيفية أداء التدقيق الداخلي. هذا التحول ليس مجرد تحسينًا في الكفاءة، بل هو أيضًا تحول نحو دور استشاري استراتيجي جديد لل аудитورين الداخليين. من المهم أن يفهم الموظفون الجدد والمتوسطون كيف يمكنهم استخدام هذه التقنيات لتحسين أدائهم وتأثيرهم.</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تقنية الذكاء الاصطناعي تؤثر على تدقيق الداخلية من خلال تحسين إدارة البيانات وتعزيز الإدراك.</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التحول نحو التدقيق المستمر والضمان القائم على البيانات يزيد من أهمية المهارات التقنية.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بالنسبة لأكثر من نصف المشاركين في الاستطلاع، سيكون دور الأuditors الداخليين مختلفًا بشكل كبير بحلول 2035.</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0</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2035</w:t>
            </w:r>
          </w:p>
          <w:p>
            <w:pPr>
              <w:bidi/>
              <w:spacing w:before="120" w:line="312" w:lineRule="auto"/>
            </w:pPr>
            <w:r>
              <w:rPr>
                <w:rFonts w:ascii="Carlito" w:hAnsi="Carlito" w:cs="Amiri" w:eastAsia="Amiri"/>
                <w:b w:val="0"/>
                <w:i w:val="0"/>
                <w:color w:val="1C2430"/>
                <w:sz w:val="22"/>
              </w:rPr>
              <w:t>بالنسبة لأكثر من نصف المشاركين في الاستطلاع، سيكون دور الأuditors الداخليين مختلفًا بشكل كبير بحلول 2035.</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theiia.org</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8A6D1A"/>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AI-Enabled Coordinated Assurance Certificate Program</w:t>
            </w:r>
            <w:r>
              <w:rPr>
                <w:rFonts w:ascii="Carlito" w:hAnsi="Carlito" w:cs="Amiri" w:eastAsia="Amiri"/>
                <w:b/>
                <w:i w:val="0"/>
                <w:color w:val="8A6D1A"/>
                <w:sz w:val="19"/>
              </w:rPr>
              <w:t xml:space="preserve">  [Sep 23, 2026 | مسودة للتعليق]</w:t>
            </w:r>
          </w:p>
          <w:p>
            <w:pPr>
              <w:bidi/>
              <w:spacing w:before="60"/>
            </w:pPr>
            <w:r>
              <w:rPr>
                <w:rFonts w:ascii="Carlito" w:hAnsi="Carlito" w:cs="Amiri" w:eastAsia="Amiri"/>
                <w:b w:val="0"/>
                <w:i/>
                <w:color w:val="5B6472"/>
                <w:sz w:val="18"/>
              </w:rPr>
              <w:t>الإصدار: Sep 23, 2026  |  آخر أجل للتعليق: لم يتم ذكره</w:t>
            </w:r>
          </w:p>
          <w:p>
            <w:pPr>
              <w:bidi/>
              <w:spacing w:before="120" w:line="312" w:lineRule="auto"/>
            </w:pPr>
            <w:r>
              <w:rPr>
                <w:rFonts w:ascii="Carlito" w:hAnsi="Carlito" w:cs="Amiri" w:eastAsia="Amiri"/>
                <w:b w:val="0"/>
                <w:i w:val="0"/>
                <w:color w:val="1C2430"/>
                <w:sz w:val="21"/>
              </w:rPr>
              <w:t>برنامج تدريب معتمد يركز على استخدام الذكاء الاصطناعي في التأكد المتعاون.</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يهدف إلى تحسين مهارات الأuditors الداخليين في استخدام تقنيات الذكاء الاصطناعي.</w:t>
            </w:r>
          </w:p>
          <w:p>
            <w:pPr>
              <w:bidi/>
              <w:spacing w:before="160"/>
            </w:pPr>
            <w:r>
              <w:rPr>
                <w:rFonts w:ascii="Carlito" w:hAnsi="Carlito" w:cs="Amiri" w:eastAsia="Amiri"/>
                <w:b/>
                <w:i w:val="0"/>
                <w:color w:val="C9A227"/>
                <w:sz w:val="22"/>
              </w:rPr>
              <w:t xml:space="preserve">⬇ </w:t>
            </w:r>
            <w:hyperlink r:id="rId10">
              <w:r>
                <w:rPr>
                  <w:rFonts w:ascii="Carlito" w:hAnsi="Carlito" w:cs="Amiri" w:eastAsia="Amiri"/>
                  <w:sz w:val="22"/>
                  <w:b/>
                  <w:u w:val="single"/>
                  <w:color w:val="C9A227"/>
                </w:rPr>
                <w:t>تحميل / الاطلاع على theiia.org</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الملخص التنفيذي</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يُكتب الملخص التنفيذي آخر شيء في عملية الإعداد، لكنه أول ما يُقرأ فعليًا — وغالبًا الوحيد الذي يقرأه كبار المسؤولين. يجب أن يحتوي: الهدف والنطاق في جملتين، أهم 3-4 نتائج مرتبة بالأهمية (لا بترتيب حدوثها الزمني في الميدان)، الرأي العام حول كفاية الرقابة، وأهم توصية واحدة تستحق اهتمامًا فوريًا. لا يتجاوز عادة صفحة واحدة.</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"قامت وحدة التدقيق بمراجعة عملية المشتريات خلال الفترة من يناير إلى مارس. تمت مراجعة 25 ملفًا. وُجدت عدة ملاحظات سيتم تفصيلها في التقرير. نأمل أن تفيد هذه المراجعة الإدارة."</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"راجعنا عملية المشتريات (يناير-مارس، 25 ملفًا). النتيجة الرئيسية: 40% من الملفات تجاوزت حد الموافقة المطلوب دون توثيق استثناء رسمي، ما يعرّض المؤسسة لمخاطرة امتثال مباشرة. نوصي بمراجعة صلاحيات الموافقة الحالية وتفعيل تنبيه آلي عند تجاوز الحدود خلال 60 يومًا. باستثناء هذه النقطة، بيئة الرقابة على المشتريات مقبولة بشكل عام."</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المثال الأول لا يخبر القارئ بأي شيء فعلي — "عدة ملاحظات" لا تدفع لأي قرار أو اهتمام محدد. المثال الثاني يعطي الرقم الأهم فورًا، يربطه بمخاطرة واضحة، ويحدد توصية بأفق زمني — قارئ مشغول يعرف بالضبط ما يحتاج معرفته خلال 20 ثانية.</w:t>
            </w:r>
          </w:p>
        </w:tc>
      </w:tr>
    </w:tbl>
    <w:p>
      <w:pPr>
        <w:spacing w:after="160"/>
      </w:pPr>
    </w:p>
    <w:p>
      <w:pPr>
        <w:bidi/>
      </w:pPr>
      <w:r>
        <w:rPr>
          <w:rFonts w:ascii="Carlito" w:hAnsi="Carlito" w:cs="Amiri" w:eastAsia="Amiri"/>
          <w:b/>
          <w:i w:val="0"/>
          <w:color w:val="13294B"/>
          <w:sz w:val="26"/>
        </w:rPr>
        <w:t>🧠 ومضة إدارية — الإدارة المالية والموازنة التقديرية (Financial Management &amp; Budgeting)</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يظن كثير من المبتدئين أن الموازنة مجرد "جدول أرقام سنوي يُقَرّ ويُنسى حتى العام القادم". في الواقع هي أداة رقابة استباقية حية: التزام بخطة عمل مُقوَّمة ماليًا، ومقياس لاحق لأداء كل مركز مسؤولية عبر أداة تحليلية واحدة أساسية: تحليل الانحرافات (Variance Analysis).</w:t>
            </w:r>
          </w:p>
          <w:p>
            <w:pPr>
              <w:bidi/>
              <w:spacing w:line="312" w:lineRule="auto" w:before="120"/>
            </w:pPr>
            <w:r>
              <w:rPr>
                <w:rFonts w:ascii="Carlito" w:hAnsi="Carlito" w:cs="Amiri" w:eastAsia="Amiri"/>
                <w:b w:val="0"/>
                <w:i w:val="0"/>
                <w:color w:val="1C2430"/>
                <w:sz w:val="22"/>
              </w:rPr>
              <w:t>تحليل الانحرافات ببساطة: الفعلي ناقص المخطط. لكن الرقم وحده لا يكفي — السؤال الأهم دومًا هو "لماذا حدث الانحراف؟". انحراف سلبي في بند "مصاريف صيانة" (أنفقنا أكثر من المخطط) قد يعني سوء تخطيط، أو قد يعني معالجة عطل طارئ ضروري لم يكن متوقعًا — والتفسيران يستدعيان استجابة مختلفة تمامًا من الإدارة.</w:t>
            </w:r>
          </w:p>
          <w:p>
            <w:pPr>
              <w:bidi/>
              <w:spacing w:line="312" w:lineRule="auto" w:before="120"/>
            </w:pPr>
            <w:r>
              <w:rPr>
                <w:rFonts w:ascii="Carlito" w:hAnsi="Carlito" w:cs="Amiri" w:eastAsia="Amiri"/>
                <w:b w:val="0"/>
                <w:i w:val="0"/>
                <w:color w:val="1C2430"/>
                <w:sz w:val="22"/>
              </w:rPr>
              <w:t>الإدارة المالية الحديثة تضيف بُعدًا آخر أساسيًا: التنبؤ بالتدفقات النقدية (Cash Flow Forecasting)، لأن مؤسسة قد تكون "رابحة" دفتريًا (حسب الأساس الاستحقاقي) بينما تُفاجَأ بعجز سيولة فعلي يمنعها من دفع رواتب الشهر القادم، لأن التزاماتها النقدية الفورية أكبر من ما هو متاح فعليًا في الحساب البنكي. هذا بالضبط ما يفرّق بين مؤسسة تُدار بحكمة مالية وأخرى تدار من أزمة سيولة لأخرى رغم ربحيتها الدفترية الظاهرة.</w:t>
            </w:r>
          </w:p>
          <w:p>
            <w:pPr>
              <w:bidi/>
              <w:spacing w:line="312" w:lineRule="auto" w:before="120"/>
            </w:pPr>
            <w:r>
              <w:rPr>
                <w:rFonts w:ascii="Carlito" w:hAnsi="Carlito" w:cs="Amiri" w:eastAsia="Amiri"/>
                <w:b w:val="0"/>
                <w:i w:val="0"/>
                <w:color w:val="1C2430"/>
                <w:sz w:val="22"/>
              </w:rPr>
              <w:t>مثال: جهة حكومية أعلنت فائضًا في موازنتها السنوية، لكنها تأخرت 3 أشهر في دفع مستحقات مورّديها — تناقض ظاهري يُفسَّر غالبًا بغياب تنبؤ نقدي دقيق يوزّع التدفقات على مدار السنة لا في نهايتها فقط.</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لا تكتفِ برقم الانحراف — اسأل دومًا عن السبب، فتفسيرات مختلفة للانحراف نفسه تستدعي استجابات إدارية مختلفة تمامًا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افحصوا الانحرافات شهريًا لا سنويًا فقط؛ الانحراف المكتشف في الشهر الثالث يُصحَّح، والمكتشف في الشهر الثاني عشر يُسجَّل فقط</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افصلوا دومًا عند التحليل بين الموازنة التشغيلية (رواتب، مصاريف يومية) والاستثمارية (مشاريع، أصول) — خلطهما يشوّه الصورة</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بيئة الرقابة الداخلية  </w:t>
            </w:r>
            <w:r>
              <w:rPr>
                <w:rFonts w:ascii="Carlito" w:hAnsi="Carlito" w:cs="Amiri" w:eastAsia="Amiri"/>
                <w:b w:val="0"/>
                <w:i/>
                <w:color w:val="E8D9A0"/>
                <w:sz w:val="22"/>
              </w:rPr>
              <w:t>(Internal Control Environment)</w:t>
            </w:r>
          </w:p>
          <w:p>
            <w:pPr>
              <w:bidi/>
              <w:spacing w:before="120" w:line="312" w:lineRule="auto"/>
            </w:pPr>
            <w:r>
              <w:rPr>
                <w:rFonts w:ascii="Carlito" w:hAnsi="Carlito" w:cs="Amiri" w:eastAsia="Amiri"/>
                <w:b w:val="0"/>
                <w:i w:val="0"/>
                <w:color w:val="FFFFFF"/>
                <w:sz w:val="21"/>
              </w:rPr>
              <w:t>المناخ العام داخل المؤسسة الذي يحدد وعي العاملين بأهمية الرقابة، ويشمل النزاهة والقيم الأخلاقية وأسلوب الإدارة وهيكل توزيع السلطة والمسؤولية.</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بيئة رقابة ضعيفة تُفشل أفضل الضوابط الإجرائية المصممة تقنيًا على الورق، لأن الالتزام الحقيقي بتطبيقها يبقى شكليًا فقط في غياب بيئة داعمة فعلاً.</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[تدريب وتطوير | متوسط]</w:t>
            </w:r>
          </w:p>
          <w:p>
            <w:pPr>
              <w:spacing w:before="40"/>
              <w:jc w:val="right"/>
              <w:bidi/>
            </w:pPr>
            <w:r>
              <w:rPr>
                <w:rFonts w:ascii="Carlito" w:hAnsi="Carlito" w:cs="Amiri" w:eastAsia="Amiri"/>
                <w:b w:val="0"/>
                <w:i/>
                <w:color w:val="E8D9A0"/>
                <w:sz w:val="17"/>
              </w:rPr>
              <w:t>🎓 المهارة المكتسبة: تحليل البيانات وتقديم التوصيات</w:t>
            </w:r>
          </w:p>
        </w:tc>
      </w:tr>
    </w:tbl>
    <w:p>
      <w:pPr>
        <w:bidi/>
        <w:spacing w:before="80"/>
      </w:pPr>
      <w:r>
        <w:rPr>
          <w:rFonts w:ascii="Carlito" w:hAnsi="Carlito" w:cs="Amiri" w:eastAsia="Amiri"/>
          <w:b/>
          <w:i w:val="0"/>
          <w:color w:val="13294B"/>
          <w:sz w:val="24"/>
        </w:rPr>
        <w:t>For Internal Audit, Success Boils Down to Five A's</w:t>
      </w:r>
    </w:p>
    <w:p>
      <w:pPr>
        <w:bidi/>
        <w:spacing w:line="312" w:lineRule="auto" w:after="120"/>
      </w:pPr>
      <w:r>
        <w:rPr>
          <w:rFonts w:ascii="Carlito" w:hAnsi="Carlito" w:cs="Amiri" w:eastAsia="Amiri"/>
          <w:b w:val="0"/>
          <w:i w:val="0"/>
          <w:color w:val="1C2430"/>
          <w:sz w:val="22"/>
        </w:rPr>
        <w:t>يقدم هذا المقال خمس نقاط رئيسية لتحقيق النجاح في التدقيق الداخلي، بما في ذلك فهم البيئة التنظيمية والاستراتيجية.</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8A6D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يقدم إرشادات عملية للموظفين الجدد والمتوسطين في كيفية تحسين أدائهم.</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قراءة المقال وتطبيق النصائح المقدمة.</w:t>
            </w:r>
          </w:p>
          <w:p>
            <w:pPr>
              <w:bidi/>
              <w:spacing w:before="80"/>
            </w:pPr>
            <w:r>
              <w:rPr>
                <w:rFonts w:ascii="Carlito" w:hAnsi="Carlito" w:cs="Amiri" w:eastAsia="Amiri"/>
                <w:b/>
                <w:i w:val="0"/>
                <w:color w:val="5B6472"/>
                <w:sz w:val="19"/>
              </w:rPr>
              <w:t xml:space="preserve">المصدر: </w:t>
            </w:r>
            <w:hyperlink r:id="rId11">
              <w:r>
                <w:rPr>
                  <w:rFonts w:ascii="Carlito" w:hAnsi="Carlito" w:cs="Amiri" w:eastAsia="Amiri"/>
                  <w:sz w:val="19"/>
                  <w:u w:val="single"/>
                  <w:color w:val="C9A227"/>
                </w:rPr>
                <w:t>theiia.org</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دورة حياة المشتريات الاستراتيجية للأنشطة الجوهرية (Core Business)</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عمليات الشراء المرتبطة مباشرة بالنشاط الجوهري للمؤسسة (لا المشتريات الإدارية الروتينية) تخضع لرقابة تناسب حجم أثرها الفعلي.</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معايير اختيار الموردين الاستراتيجيين موثقة ومطبَّقة فعليًا في كل قرار شراء كبير، أم تُتَّبع أحيانًا وتُتجاوَز أحيانًا أخرى؟</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مخاطر الاعتماد المفرط على مورّد واحد استراتيجي (Single Source Dependency)؟</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تقييم دوري موثق لأداء الموردين الاستراتيجيين الحاليين، أم يستمر التعامل بالعادة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من يوافق فعليًا على تعديلات العقود الكبرى بعد التوقيع، وهل يخضع ذلك لنفس صرامة الموافقة الأولية؟</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اعتماد شبه كامل على مورّد واحد لمدخل جوهري بلا خطة بديلة موثقة، أو تعديلات متكررة على عقود كبرى دون إعادة تقييم رسمية لشروطها الأصلية.</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نضج إدارة المخاطر المؤسسية (ERM Maturity Assessment)</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تقييم ما إذا كانت ممارسة إدارة المخاطر في المؤسسة قد تجاوزت مرحلة "سجل مخاطر يُحدَّث سنويًا للامتثال" إلى مرحلة أداة قرار فعلية مندمجة في العمل اليومي.</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متى آخر مرة نوقش سجل المخاطر فعليًا في اجتماع لصناعة قرار استراتيجي، لا فقط للتحديث الدوري الشكلي؟</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شهية المخاطرة معتمدة رسميًا من المجلس، وهل تُستخدَم فعليًا كمرجع في قرارات المخاطرة اليومية؟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أصحاب المخاطر (Risk Owners) المُسمَّون في السجل يعرفون فعلاً أنهم مسؤولون عنها، أم أن التسمية شكلية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المخاطر الناشئة (Emerging Risks) التي لم تكن موجودة وقت آخر تحديث للسجل؟</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سجل مخاطر لم يتغير محتواه الجوهري منذ أكثر من سنة رغم تغيّرات واضحة في بيئة العمل، أو مخاطر مُصنَّفة "مرتفعة" بلا أي خطة استجابة موثقة أو موعد متابعة محدد.</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الموثوقية — الالتزام الصارم بالمواعيد والوعود الصغيرة اليومية — هي العملة الحقيقية التي تُبنى بها الثقة المهنية مع الوقت، أكثر بكثير من أي إنجاز استثنائي فردي نادر الحدوث يظهر مرة كل سنتين.</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لا تعد بموعد تسليم لا تستطيع الوفاء به فعليًا مهما كان الضغط لإرضاء الطالب في اللحظة؛ وإن استحال الوفاء بموعد وعدت به فعلاً، أبلغ الطرف الآخر مبكرًا قدر الإمكان لا في اللحظة الأخيرة.</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دقيقة واحدة فقط من التنفس العميق والبطيء (شهيق 4 ثوانٍ، زفير 6 ثوانٍ) قبل اجتماع مهم أو عرض تقديمي حاسم تقلل التوتر الفوري بشكل ملحوظ وتحسّن وضوح تفكيرك وأدائك في الدقائق الأولى الحاسمة من اللقاء.</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مقال — </w:t>
      </w:r>
      <w:hyperlink r:id="rId12">
        <w:r>
          <w:rPr>
            <w:rFonts w:ascii="Carlito" w:hAnsi="Carlito" w:cs="Amiri" w:eastAsia="Amiri"/>
            <w:sz w:val="21"/>
            <w:b/>
            <w:u w:val="single"/>
            <w:color w:val="C9A227"/>
          </w:rPr>
          <w:t>Future of Internal Audit: AI &amp; Risk Sensing | IIA Podcast</w:t>
        </w:r>
      </w:hyperlink>
      <w:r>
        <w:rPr>
          <w:rFonts w:ascii="Carlito" w:hAnsi="Carlito" w:cs="Amiri" w:eastAsia="Amiri"/>
          <w:b w:val="0"/>
          <w:i w:val="0"/>
          <w:color w:val="5B6472"/>
          <w:sz w:val="19"/>
        </w:rPr>
        <w:t xml:space="preserve">  (theiia.org)</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Execution: The Discipline of Getting Things Done — Larry Bossidy &amp; Ram Charan</w:t>
      </w:r>
    </w:p>
    <w:p>
      <w:pPr>
        <w:bidi/>
      </w:pPr>
      <w:r>
        <w:rPr>
          <w:rFonts w:ascii="Carlito" w:hAnsi="Carlito" w:cs="Amiri" w:eastAsia="Amiri"/>
          <w:b w:val="0"/>
          <w:i/>
          <w:color w:val="5B6472"/>
          <w:sz w:val="21"/>
        </w:rPr>
        <w:t>يعالج الفجوة الأكثر شيوعًا بين استراتيجيات طموحة على الورق وواقع تنفيذ فعلي متعثر.</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عند تدقيق مشروع استراتيجي، لا تكتفوا بمراجعة خطته — اطلبوا دليلاً على متابعة تنفيذية أسبوعية موثقة تربط الخطة بالواقع.</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ternalauditor.theiia.org/en/voices/2019/10-internal-audit-thought-leaders-of-the-decade" TargetMode="External"/><Relationship Id="rId11" Type="http://schemas.openxmlformats.org/officeDocument/2006/relationships/hyperlink" Target="https://internalauditor.theiia.org/en/voices/20202/for-internal-audit-success-boils-down-to-five-as" TargetMode="External"/><Relationship Id="rId12" Type="http://schemas.openxmlformats.org/officeDocument/2006/relationships/hyperlink" Target="https://www.theiia.org/en/content/podcast/all-things-internal-audit/2026/ep-0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