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raditional Arabic" w:hAnsi="Traditional Arabic"/>
          <w:b/>
          <w:color w:val="B734F7"/>
          <w:sz w:val="44"/>
        </w:rPr>
        <w:t>النشرة الأسبوعية للحوكمة والتدقيق الداخلي</w:t>
      </w:r>
    </w:p>
    <w:p>
      <w:pPr>
        <w:jc w:val="center"/>
      </w:pPr>
      <w:r>
        <w:rPr>
          <w:rFonts w:ascii="Traditional Arabic" w:hAnsi="Traditional Arabic"/>
          <w:color w:val="64748B"/>
          <w:sz w:val="24"/>
        </w:rPr>
        <w:t>تقرير رصد التحليلات والتطورات التنظيمية — 2026-08-16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B734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2"/>
              </w:rPr>
              <w:t>إجمالي التحديثات</w:t>
            </w:r>
          </w:p>
        </w:tc>
        <w:tc>
          <w:tcPr>
            <w:tcW w:type="dxa" w:w="3312"/>
            <w:shd w:fill="B734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2"/>
              </w:rPr>
              <w:t>تحديثات عالية الخطورة</w:t>
            </w:r>
          </w:p>
        </w:tc>
        <w:tc>
          <w:tcPr>
            <w:tcW w:type="dxa" w:w="3312"/>
            <w:shd w:fill="B734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2"/>
              </w:rPr>
              <w:t>المجالات المغطاة</w:t>
            </w:r>
          </w:p>
        </w:tc>
      </w:tr>
      <w:tr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B734F7"/>
                <w:sz w:val="26"/>
              </w:rPr>
              <w:t>2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991B1B"/>
                <w:sz w:val="26"/>
              </w:rPr>
              <w:t>2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B734F7"/>
                <w:sz w:val="26"/>
              </w:rPr>
              <w:t>حوكمة وتقنية, تدقيق داخلي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B734F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jc w:val="right"/>
            </w:pPr>
            <w:r>
              <w:rPr>
                <w:rFonts w:ascii="Traditional Arabic" w:hAnsi="Traditional Arabic"/>
                <w:b/>
                <w:color w:val="FFFFFF"/>
                <w:sz w:val="30"/>
              </w:rPr>
              <w:t xml:space="preserve">1. تحديثات معايير التدقيق القائم على إدارة المخاطر (ERM)  </w:t>
            </w:r>
            <w:r>
              <w:rPr>
                <w:rFonts w:ascii="Traditional Arabic" w:hAnsi="Traditional Arabic"/>
                <w:b/>
                <w:color w:val="D4AF37"/>
                <w:sz w:val="22"/>
              </w:rPr>
              <w:t xml:space="preserve"> [تدقيق داخلي | مستوى الخطورة: عالٍ]</w:t>
            </w:r>
          </w:p>
        </w:tc>
      </w:tr>
    </w:tbl>
    <w:p>
      <w:pPr>
        <w:spacing w:line="312" w:lineRule="auto" w:after="120" w:before="120"/>
      </w:pPr>
      <w:r>
        <w:rPr>
          <w:rFonts w:ascii="Traditional Arabic" w:hAnsi="Traditional Arabic"/>
          <w:color w:val="1E293B"/>
          <w:sz w:val="25"/>
        </w:rPr>
        <w:t>أصدرت الهيئات التنظيمية خطوطاً إرشادية جديدة تركز على رفع كفاءة التقييم المستمر لمخاطر الأمن السيبراني والتحول الرقمي ضمن خطط التدقيق السنوية.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top w:val="none"/>
              <w:left w:val="none"/>
              <w:bottom w:val="none"/>
              <w:right w:val="single" w:sz="24" w:space="0" w:color="B12763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line="300" w:lineRule="auto" w:after="80"/>
            </w:pPr>
            <w:r>
              <w:rPr>
                <w:rFonts w:ascii="Traditional Arabic" w:hAnsi="Traditional Arabic"/>
                <w:b/>
                <w:color w:val="B12763"/>
                <w:sz w:val="24"/>
              </w:rPr>
              <w:t>🎯 الأثر المباشر على المؤسسة (Why It Matters):</w:t>
              <w:br/>
            </w:r>
            <w:r>
              <w:rPr>
                <w:rFonts w:ascii="Traditional Arabic" w:hAnsi="Traditional Arabic"/>
                <w:color w:val="1E293B"/>
                <w:sz w:val="23"/>
              </w:rPr>
              <w:t>تزايد المخاطر السيبرانية قد يؤدي إلى انكشاف النظم الرقابية وغرامات تنظيمية غير متوقعة.</w:t>
              <w:br/>
              <w:br/>
            </w:r>
            <w:r>
              <w:rPr>
                <w:rFonts w:ascii="Traditional Arabic" w:hAnsi="Traditional Arabic"/>
                <w:b/>
                <w:color w:val="B12763"/>
                <w:sz w:val="24"/>
              </w:rPr>
              <w:t>🛠️ إجراءات التدقيق والحوكمة الموصى بها:</w:t>
              <w:br/>
            </w:r>
            <w:r>
              <w:rPr>
                <w:rFonts w:ascii="Traditional Arabic" w:hAnsi="Traditional Arabic"/>
                <w:color w:val="1E293B"/>
                <w:sz w:val="23"/>
              </w:rPr>
              <w:t>تحديث مصفوفة مخاطر التدقيق الداخلي وإعادة تقييم ضوابط الوصول للأنظمة الحساسة قبل نهاية الربع.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B734F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jc w:val="right"/>
            </w:pPr>
            <w:r>
              <w:rPr>
                <w:rFonts w:ascii="Traditional Arabic" w:hAnsi="Traditional Arabic"/>
                <w:b/>
                <w:color w:val="FFFFFF"/>
                <w:sz w:val="30"/>
              </w:rPr>
              <w:t xml:space="preserve">2. تعزيز أطر الحوكمة في التطبيقات المالية المؤتمتة  </w:t>
            </w:r>
            <w:r>
              <w:rPr>
                <w:rFonts w:ascii="Traditional Arabic" w:hAnsi="Traditional Arabic"/>
                <w:b/>
                <w:color w:val="D4AF37"/>
                <w:sz w:val="22"/>
              </w:rPr>
              <w:t xml:space="preserve"> [حوكمة وتقنية | مستوى الخطورة: حرج]</w:t>
            </w:r>
          </w:p>
        </w:tc>
      </w:tr>
    </w:tbl>
    <w:p>
      <w:pPr>
        <w:spacing w:line="312" w:lineRule="auto" w:after="120" w:before="120"/>
      </w:pPr>
      <w:r>
        <w:rPr>
          <w:rFonts w:ascii="Traditional Arabic" w:hAnsi="Traditional Arabic"/>
          <w:color w:val="1E293B"/>
          <w:sz w:val="25"/>
        </w:rPr>
        <w:t>التأكيد على ضرورة فصل المهام وتفعيل آليات المراجعة المزدوجة للعمليات المالية المؤتمتة لمنع التعارض والأخطاء التشغيلية.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top w:val="none"/>
              <w:left w:val="none"/>
              <w:bottom w:val="none"/>
              <w:right w:val="single" w:sz="24" w:space="0" w:color="B12763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line="300" w:lineRule="auto" w:after="80"/>
            </w:pPr>
            <w:r>
              <w:rPr>
                <w:rFonts w:ascii="Traditional Arabic" w:hAnsi="Traditional Arabic"/>
                <w:b/>
                <w:color w:val="B12763"/>
                <w:sz w:val="24"/>
              </w:rPr>
              <w:t>🎯 الأثر المباشر على المؤسسة (Why It Matters):</w:t>
              <w:br/>
            </w:r>
            <w:r>
              <w:rPr>
                <w:rFonts w:ascii="Traditional Arabic" w:hAnsi="Traditional Arabic"/>
                <w:color w:val="1E293B"/>
                <w:sz w:val="23"/>
              </w:rPr>
              <w:t>غياب الرقابة المزدوجة يزيد احتمال الاحتيال المالي والأخطاء المحاسبية غير المكتشفة.</w:t>
              <w:br/>
              <w:br/>
            </w:r>
            <w:r>
              <w:rPr>
                <w:rFonts w:ascii="Traditional Arabic" w:hAnsi="Traditional Arabic"/>
                <w:b/>
                <w:color w:val="B12763"/>
                <w:sz w:val="24"/>
              </w:rPr>
              <w:t>🛠️ إجراءات التدقيق والحوكمة الموصى بها:</w:t>
              <w:br/>
            </w:r>
            <w:r>
              <w:rPr>
                <w:rFonts w:ascii="Traditional Arabic" w:hAnsi="Traditional Arabic"/>
                <w:color w:val="1E293B"/>
                <w:sz w:val="23"/>
              </w:rPr>
              <w:t>إجراء فحص عينات للأنظمة المؤتمتة للتحقق من مطابقة صلاحيات المستخدمين لمصفوفة (SoD).</w:t>
            </w:r>
          </w:p>
        </w:tc>
      </w:tr>
    </w:tbl>
    <w:p>
      <w:pPr>
        <w:spacing w:after="200"/>
      </w:pP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raditional Arabic" w:hAnsi="Traditional Arabic"/>
        <w:color w:val="94A3B8"/>
        <w:sz w:val="18"/>
      </w:rPr>
      <w:t>النشرة الأسبوعية للحوكمة والتدقيق — سري وللاستخدام الداخلي فقط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