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B1F3A"/>
            <w:tcMar>
              <w:top w:w="900" w:type="dxa"/>
              <w:bottom w:w="900" w:type="dxa"/>
              <w:left w:w="500" w:type="dxa"/>
              <w:right w:w="500" w:type="dxa"/>
            </w:tcMar>
          </w:tcPr>
          <w:p>
            <w:pPr>
              <w:jc w:val="center"/>
              <w:bidi/>
            </w:pPr>
            <w:r>
              <w:rPr>
                <w:rFonts w:ascii="Carlito" w:hAnsi="Carlito" w:cs="Amiri" w:eastAsia="Amiri"/>
                <w:b/>
                <w:i w:val="0"/>
                <w:color w:val="E8D9A0"/>
                <w:sz w:val="22"/>
              </w:rPr>
              <w:t>العدد 10  •  2026-10-19</w:t>
            </w:r>
          </w:p>
          <w:p>
            <w:pPr>
              <w:spacing w:before="280"/>
              <w:jc w:val="center"/>
              <w:bidi/>
            </w:pPr>
            <w:r>
              <w:rPr>
                <w:rFonts w:ascii="Carlito" w:hAnsi="Carlito" w:cs="Amiri" w:eastAsia="Amiri"/>
                <w:b/>
                <w:i w:val="0"/>
                <w:color w:val="FFFFFF"/>
                <w:sz w:val="52"/>
              </w:rPr>
              <w:t>النشرة الأسبوعية للحوكمة والتدقيق الداخلي</w:t>
            </w:r>
          </w:p>
          <w:p>
            <w:pPr>
              <w:spacing w:before="200"/>
              <w:jc w:val="center"/>
              <w:bidi/>
            </w:pPr>
            <w:r>
              <w:rPr>
                <w:rFonts w:ascii="Carlito" w:hAnsi="Carlito" w:cs="Amiri" w:eastAsia="Amiri"/>
                <w:b w:val="0"/>
                <w:i/>
                <w:color w:val="C9A227"/>
                <w:sz w:val="28"/>
              </w:rPr>
              <w:t>تقنيات جديدة وتحديات جديدة في التدقيق الداخلي</w:t>
            </w:r>
          </w:p>
          <w:p>
            <w:pPr>
              <w:spacing w:before="320"/>
              <w:jc w:val="center"/>
              <w:bidi/>
            </w:pPr>
            <w:r>
              <w:rPr>
                <w:rFonts w:ascii="Carlito" w:hAnsi="Carlito" w:cs="Amiri" w:eastAsia="Amiri"/>
                <w:b w:val="0"/>
                <w:i w:val="0"/>
                <w:color w:val="E8D9A0"/>
                <w:sz w:val="17"/>
              </w:rPr>
              <w:t>التدقيق الداخلي (Internal Audit) • تدقيق الأداء (Performance Audit) • تدقيق الالتزام (Compliance Audit) • تدقيق تكنولوجيا المعلومات (IT Audit) • الحوكمة (Governance) • الرقابة الداخلية (Internal Controls) • إدارة المخاطر (Risk Management) • الموارد البشرية (HR) • المحاسبة الإدارية (Management Accounting) • إصلاح وتحول القطاع العام (Public Sector Reform)</w:t>
            </w:r>
          </w:p>
        </w:tc>
      </w:tr>
    </w:tbl>
    <w:p/>
    <w:p>
      <w:pPr>
        <w:bidi/>
        <w:spacing w:after="80"/>
      </w:pPr>
      <w:r>
        <w:rPr>
          <w:rFonts w:ascii="Carlito" w:hAnsi="Carlito" w:cs="Amiri" w:eastAsia="Amiri"/>
          <w:b/>
          <w:i w:val="0"/>
          <w:color w:val="13294B"/>
          <w:sz w:val="26"/>
        </w:rPr>
        <w:t>✉️ كلمة التحرير</w:t>
      </w:r>
    </w:p>
    <w:p>
      <w:pPr>
        <w:bidi/>
        <w:spacing w:line="312" w:lineRule="auto"/>
      </w:pPr>
      <w:r>
        <w:rPr>
          <w:rFonts w:ascii="Carlito" w:hAnsi="Carlito" w:cs="Amiri" w:eastAsia="Amiri"/>
          <w:b w:val="0"/>
          <w:i/>
          <w:color w:val="5B6472"/>
          <w:sz w:val="23"/>
        </w:rPr>
        <w:t>في هذا الأسبوع، نرى كيف أن التطورات في تقنيات التدقيق الداخلي مثل الذكاء الاصطناعي والتحليلات البيانية تفتح آفاقًا جديدة، ولكنها تطرح أيضًا تحديات جديدة تتطلب مهارات متقدمة من تدققي.</w:t>
      </w:r>
    </w:p>
    <w:p>
      <w:pPr>
        <w:spacing w:after="80"/>
      </w:pPr>
    </w:p>
    <w:p>
      <w:pPr>
        <w:bidi/>
      </w:pPr>
      <w:r>
        <w:rPr>
          <w:rFonts w:ascii="Carlito" w:hAnsi="Carlito" w:cs="Amiri" w:eastAsia="Amiri"/>
          <w:b/>
          <w:i w:val="0"/>
          <w:color w:val="13294B"/>
          <w:sz w:val="26"/>
        </w:rPr>
        <w:t>⚡ لمحة الأسبوع</w:t>
      </w:r>
    </w:p>
    <w:tbl>
      <w:tblPr>
        <w:tblW w:type="auto" w:w="0"/>
        <w:jc w:val="center"/>
        <w:tblLook w:firstColumn="1" w:firstRow="1" w:lastColumn="0" w:lastRow="0" w:noHBand="0" w:noVBand="1" w:val="04A0"/>
      </w:tblPr>
      <w:tblGrid>
        <w:gridCol w:w="9936"/>
      </w:tblGrid>
      <w:tr>
        <w:tc>
          <w:tcPr>
            <w:tcW w:type="dxa" w:w="9936"/>
            <w:shd w:fill="13294B"/>
            <w:tcMar>
              <w:top w:w="140" w:type="dxa"/>
              <w:bottom w:w="140" w:type="dxa"/>
              <w:left w:w="220" w:type="dxa"/>
              <w:right w:w="220" w:type="dxa"/>
            </w:tcMar>
          </w:tcPr>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التحديثات الأخيرة في معايير التدقيق الداخلي تشدد على أهمية التركيز على حوكمة الأمن السيبراني.</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التدريب على الذكاء الاصطناعي يصبح جزءًا من مناهج التدريب على شهادة CIA.</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التحليلات البيانية تزداد استخدامًا في التدقيق الداخلي، مع هدف استخدامها بنسبة 100% في بعض الشركات.</w:t>
            </w:r>
          </w:p>
        </w:tc>
      </w:tr>
    </w:tbl>
    <w:p>
      <w:pPr>
        <w:spacing w:after="160"/>
      </w:pPr>
    </w:p>
    <w:tbl>
      <w:tblPr>
        <w:tblW w:type="auto" w:w="0"/>
        <w:jc w:val="center"/>
        <w:tblLook w:firstColumn="1" w:firstRow="1" w:lastColumn="0" w:lastRow="0" w:noHBand="0" w:noVBand="1" w:val="04A0"/>
      </w:tblPr>
      <w:tblGrid>
        <w:gridCol w:w="2484"/>
        <w:gridCol w:w="2484"/>
        <w:gridCol w:w="2484"/>
        <w:gridCol w:w="2484"/>
      </w:tblGrid>
      <w:tr>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إجمالي التحديثات</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معايير جديدة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أولوية عالية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المجالات المغطاة</w:t>
            </w:r>
          </w:p>
        </w:tc>
      </w:tr>
      <w:tr>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8C1D1D"/>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r>
    </w:tbl>
    <w:p>
      <w:pPr>
        <w:spacing w:after="160"/>
      </w:pPr>
    </w:p>
    <w:p>
      <w:pPr>
        <w:bidi/>
      </w:pPr>
      <w:r>
        <w:rPr>
          <w:rFonts w:ascii="Carlito" w:hAnsi="Carlito" w:cs="Amiri" w:eastAsia="Amiri"/>
          <w:b/>
          <w:i w:val="0"/>
          <w:color w:val="13294B"/>
          <w:sz w:val="26"/>
        </w:rPr>
        <w:t>🔢 رقم الأسبوع</w:t>
      </w:r>
    </w:p>
    <w:tbl>
      <w:tblPr>
        <w:tblW w:type="auto" w:w="0"/>
        <w:jc w:val="center"/>
        <w:tblLook w:firstColumn="1" w:firstRow="1" w:lastColumn="0" w:lastRow="0" w:noHBand="0" w:noVBand="1" w:val="04A0"/>
      </w:tblPr>
      <w:tblGrid>
        <w:gridCol w:w="9936"/>
      </w:tblGrid>
      <w:tr>
        <w:tc>
          <w:tcPr>
            <w:tcW w:type="dxa" w:w="9936"/>
            <w:shd w:fill="FBF9F4"/>
            <w:tcMar>
              <w:top w:w="160" w:type="dxa"/>
              <w:bottom w:w="160" w:type="dxa"/>
              <w:left w:w="220" w:type="dxa"/>
              <w:right w:w="220" w:type="dxa"/>
            </w:tcMar>
            <w:tcBorders>
              <w:right w:val="single" w:sz="20" w:space="0" w:color="C9A227"/>
            </w:tcBorders>
          </w:tcPr>
          <w:p>
            <w:pPr>
              <w:bidi/>
            </w:pPr>
            <w:r>
              <w:rPr>
                <w:rFonts w:ascii="Carlito" w:hAnsi="Carlito" w:cs="Amiri" w:eastAsia="Amiri"/>
                <w:b/>
                <w:i w:val="0"/>
                <w:color w:val="13294B"/>
                <w:sz w:val="56"/>
              </w:rPr>
              <w:t>50% - 80%</w:t>
            </w:r>
          </w:p>
          <w:p>
            <w:pPr>
              <w:bidi/>
              <w:spacing w:before="120" w:line="312" w:lineRule="auto"/>
            </w:pPr>
            <w:r>
              <w:rPr>
                <w:rFonts w:ascii="Carlito" w:hAnsi="Carlito" w:cs="Amiri" w:eastAsia="Amiri"/>
                <w:b w:val="0"/>
                <w:i w:val="0"/>
                <w:color w:val="1C2430"/>
                <w:sz w:val="22"/>
              </w:rPr>
              <w:t>منظمة Corporate Compliance.org تُظهر أن المنظمات التي أدرجت أنظمة التزام آلية قد رأت تقليلًا في عمل التدقيق بنسبة 50% إلى 80%.</w:t>
            </w:r>
          </w:p>
          <w:p>
            <w:pPr>
              <w:bidi/>
              <w:spacing w:before="120"/>
            </w:pPr>
            <w:r>
              <w:rPr>
                <w:rFonts w:ascii="Carlito" w:hAnsi="Carlito" w:cs="Amiri" w:eastAsia="Amiri"/>
                <w:b/>
                <w:i w:val="0"/>
                <w:color w:val="5B6472"/>
                <w:sz w:val="19"/>
              </w:rPr>
              <w:t xml:space="preserve">المصدر: </w:t>
            </w:r>
            <w:hyperlink r:id="rId10">
              <w:r>
                <w:rPr>
                  <w:rFonts w:ascii="Carlito" w:hAnsi="Carlito" w:cs="Amiri" w:eastAsia="Amiri"/>
                  <w:sz w:val="19"/>
                  <w:u w:val="single"/>
                  <w:color w:val="C9A227"/>
                </w:rPr>
                <w:t>Corporate Compliance.org</w:t>
              </w:r>
            </w:hyperlink>
          </w:p>
        </w:tc>
      </w:tr>
    </w:tbl>
    <w:p>
      <w:pPr>
        <w:spacing w:after="160"/>
      </w:pPr>
    </w:p>
    <w:p>
      <w:pPr>
        <w:bidi/>
      </w:pPr>
      <w:r>
        <w:rPr>
          <w:rFonts w:ascii="Carlito" w:hAnsi="Carlito" w:cs="Amiri" w:eastAsia="Amiri"/>
          <w:b/>
          <w:i w:val="0"/>
          <w:color w:val="13294B"/>
          <w:sz w:val="26"/>
        </w:rPr>
        <w:t>🆕 رادار المعايير والإصدارات الجديدة</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FFFFFF"/>
            <w:tcMar>
              <w:top w:w="140" w:type="dxa"/>
              <w:bottom w:w="140" w:type="dxa"/>
              <w:left w:w="200" w:type="dxa"/>
              <w:right w:w="200" w:type="dxa"/>
            </w:tcMar>
            <w:tcBorders>
              <w:right w:val="single" w:sz="20" w:space="0" w:color="8A6D1A"/>
            </w:tcBorders>
            <w:tcBorders>
              <w:top w:val="single" w:sz="4" w:space="0" w:color="D8D2C2"/>
              <w:bottom w:val="single" w:sz="4" w:space="0" w:color="D8D2C2"/>
              <w:left w:val="single" w:sz="4" w:space="0" w:color="D8D2C2"/>
            </w:tcBorders>
          </w:tcPr>
          <w:p>
            <w:pPr>
              <w:bidi/>
            </w:pPr>
            <w:r>
              <w:rPr>
                <w:rFonts w:ascii="Carlito" w:hAnsi="Carlito" w:cs="Amiri" w:eastAsia="Amiri"/>
                <w:b/>
                <w:i w:val="0"/>
                <w:color w:val="13294B"/>
                <w:sz w:val="25"/>
              </w:rPr>
              <w:t>Social Benefits: Disclosure of Cash Transfers to Individuals or Households</w:t>
            </w:r>
            <w:r>
              <w:rPr>
                <w:rFonts w:ascii="Carlito" w:hAnsi="Carlito" w:cs="Amiri" w:eastAsia="Amiri"/>
                <w:b/>
                <w:i w:val="0"/>
                <w:color w:val="8A6D1A"/>
                <w:sz w:val="19"/>
              </w:rPr>
              <w:t xml:space="preserve">  [IPSASB | مسودة للتعليق]</w:t>
            </w:r>
          </w:p>
          <w:p>
            <w:pPr>
              <w:bidi/>
              <w:spacing w:before="60"/>
            </w:pPr>
            <w:r>
              <w:rPr>
                <w:rFonts w:ascii="Carlito" w:hAnsi="Carlito" w:cs="Amiri" w:eastAsia="Amiri"/>
                <w:b w:val="0"/>
                <w:i/>
                <w:color w:val="5B6472"/>
                <w:sz w:val="18"/>
              </w:rPr>
              <w:t>الإصدار: لم يتم تحديد تاريخ  |  آخر أجل للتعليق: لم يتم تحديد تاريخ</w:t>
            </w:r>
          </w:p>
          <w:p>
            <w:pPr>
              <w:bidi/>
              <w:spacing w:before="120" w:line="312" w:lineRule="auto"/>
            </w:pPr>
            <w:r>
              <w:rPr>
                <w:rFonts w:ascii="Carlito" w:hAnsi="Carlito" w:cs="Amiri" w:eastAsia="Amiri"/>
                <w:b w:val="0"/>
                <w:i w:val="0"/>
                <w:color w:val="1C2430"/>
                <w:sz w:val="21"/>
              </w:rPr>
              <w:t>تقترح هذه المسودة إجراءات الإفصاح المتعلقة بالمدفوعات النقدية إلى الأفراد أو الأسر كجزء من برامج المعونات الاجتماعية.</w:t>
            </w:r>
          </w:p>
          <w:p>
            <w:pPr>
              <w:bidi/>
              <w:spacing w:before="80"/>
            </w:pPr>
            <w:r>
              <w:rPr>
                <w:rFonts w:ascii="Carlito" w:hAnsi="Carlito" w:cs="Amiri" w:eastAsia="Amiri"/>
                <w:b/>
                <w:i w:val="0"/>
                <w:color w:val="13294B"/>
                <w:sz w:val="20"/>
              </w:rPr>
              <w:t xml:space="preserve">لماذا يهمكم: </w:t>
            </w:r>
            <w:r>
              <w:rPr>
                <w:rFonts w:ascii="Carlito" w:hAnsi="Carlito" w:cs="Amiri" w:eastAsia="Amiri"/>
                <w:b w:val="0"/>
                <w:i w:val="0"/>
                <w:color w:val="1C2430"/>
                <w:sz w:val="20"/>
              </w:rPr>
              <w:t>ستؤثر هذه المسودة على كيفية الإفصاح عن المعونات الاجتماعية في القطاع العام.</w:t>
            </w:r>
          </w:p>
          <w:p>
            <w:pPr>
              <w:bidi/>
              <w:spacing w:before="160"/>
            </w:pPr>
            <w:r>
              <w:rPr>
                <w:rFonts w:ascii="Carlito" w:hAnsi="Carlito" w:cs="Amiri" w:eastAsia="Amiri"/>
                <w:b/>
                <w:i w:val="0"/>
                <w:color w:val="C9A227"/>
                <w:sz w:val="22"/>
              </w:rPr>
              <w:t xml:space="preserve">⬇ </w:t>
            </w:r>
            <w:hyperlink r:id="rId11">
              <w:r>
                <w:rPr>
                  <w:rFonts w:ascii="Carlito" w:hAnsi="Carlito" w:cs="Amiri" w:eastAsia="Amiri"/>
                  <w:sz w:val="22"/>
                  <w:b/>
                  <w:u w:val="single"/>
                  <w:color w:val="C9A227"/>
                </w:rPr>
                <w:t>تحميل / الاطلاع على IPSASB</w:t>
              </w:r>
            </w:hyperlink>
          </w:p>
        </w:tc>
      </w:tr>
    </w:tbl>
    <w:p>
      <w:pPr>
        <w:spacing w:after="120"/>
      </w:pPr>
    </w:p>
    <w:p>
      <w:pPr>
        <w:bidi/>
      </w:pPr>
      <w:r>
        <w:rPr>
          <w:rFonts w:ascii="Carlito" w:hAnsi="Carlito" w:cs="Amiri" w:eastAsia="Amiri"/>
          <w:b/>
          <w:i w:val="0"/>
          <w:color w:val="13294B"/>
          <w:sz w:val="26"/>
        </w:rPr>
        <w:t>✍️ ورشة الصياغة</w:t>
      </w:r>
    </w:p>
    <w:p>
      <w:pPr>
        <w:bidi/>
        <w:spacing w:after="80"/>
      </w:pPr>
      <w:r>
        <w:rPr>
          <w:rFonts w:ascii="Carlito" w:hAnsi="Carlito" w:cs="Amiri" w:eastAsia="Amiri"/>
          <w:b w:val="0"/>
          <w:i/>
          <w:color w:val="5B6472"/>
          <w:sz w:val="20"/>
        </w:rPr>
        <w:t>هذا الأسبوع: الجداول التحليلية والرسوم البيانية</w:t>
      </w:r>
    </w:p>
    <w:tbl>
      <w:tblPr>
        <w:tblW w:type="auto" w:w="0"/>
        <w:jc w:val="center"/>
        <w:tblLook w:firstColumn="1" w:firstRow="1" w:lastColumn="0" w:lastRow="0" w:noHBand="0" w:noVBand="1" w:val="04A0"/>
      </w:tblPr>
      <w:tblGrid>
        <w:gridCol w:w="9936"/>
      </w:tblGrid>
      <w:tr>
        <w:tc>
          <w:tcPr>
            <w:tcW w:type="dxa" w:w="9936"/>
            <w:shd w:fill="FBF9F4"/>
            <w:tcMar>
              <w:top w:w="140" w:type="dxa"/>
              <w:bottom w:w="140" w:type="dxa"/>
              <w:left w:w="200" w:type="dxa"/>
              <w:right w:w="200" w:type="dxa"/>
            </w:tcMar>
            <w:tcBorders>
              <w:right w:val="single" w:sz="20" w:space="0" w:color="C9A227"/>
            </w:tcBorders>
          </w:tcPr>
          <w:p>
            <w:pPr>
              <w:bidi/>
              <w:spacing w:line="312" w:lineRule="auto"/>
            </w:pPr>
            <w:r>
              <w:rPr>
                <w:rFonts w:ascii="Carlito" w:hAnsi="Carlito" w:cs="Amiri" w:eastAsia="Amiri"/>
                <w:b w:val="0"/>
                <w:i w:val="0"/>
                <w:color w:val="1C2430"/>
                <w:sz w:val="21"/>
              </w:rPr>
              <w:t>عنوان أي جدول أو رسم بياني يجب أن يقول "ماذا يعني هذا الرقم" لا "ماذا يعرض هذا الرسم" فقط. عنوان وصفي محايد يترك القارئ يستنتج بنفسه؛ عنوان تحليلي يوصل الرسالة فورًا حتى لمن ينظر للعنوان فقط دون قراءة الرسم بالكامل.</w:t>
            </w:r>
          </w:p>
          <w:p>
            <w:pPr>
              <w:bidi/>
              <w:spacing w:before="160"/>
            </w:pPr>
            <w:r>
              <w:rPr>
                <w:rFonts w:ascii="Carlito" w:hAnsi="Carlito" w:cs="Amiri" w:eastAsia="Amiri"/>
                <w:b/>
                <w:i w:val="0"/>
                <w:color w:val="8C1D1D"/>
                <w:sz w:val="20"/>
              </w:rPr>
              <w:t xml:space="preserve">❌ صياغة ضعيفة: </w:t>
            </w:r>
            <w:r>
              <w:rPr>
                <w:rFonts w:ascii="Carlito" w:hAnsi="Carlito" w:cs="Amiri" w:eastAsia="Amiri"/>
                <w:b w:val="0"/>
                <w:i/>
                <w:color w:val="5B6472"/>
                <w:sz w:val="20"/>
              </w:rPr>
              <w:t>عنوان الرسم البياني: "نسب الالتزام بمهل التسليم الشهرية (يناير - يونيو 2026)"</w:t>
            </w:r>
          </w:p>
          <w:p>
            <w:pPr>
              <w:bidi/>
              <w:spacing w:before="120"/>
            </w:pPr>
            <w:r>
              <w:rPr>
                <w:rFonts w:ascii="Carlito" w:hAnsi="Carlito" w:cs="Amiri" w:eastAsia="Amiri"/>
                <w:b/>
                <w:i w:val="0"/>
                <w:color w:val="1E6B3E"/>
                <w:sz w:val="20"/>
              </w:rPr>
              <w:t xml:space="preserve">✅ صياغة قوية: </w:t>
            </w:r>
            <w:r>
              <w:rPr>
                <w:rFonts w:ascii="Carlito" w:hAnsi="Carlito" w:cs="Amiri" w:eastAsia="Amiri"/>
                <w:b w:val="0"/>
                <w:i w:val="0"/>
                <w:color w:val="1C2430"/>
                <w:sz w:val="20"/>
              </w:rPr>
              <w:t>عنوان الرسم البياني: "تراجع الالتزام بمهل التسليم من 92% إلى 74% خلال ستة أشهر — الانحدار الأحد في مارس بعد تغيير المورّد الرئيسي"</w:t>
            </w:r>
          </w:p>
          <w:p>
            <w:pPr>
              <w:bidi/>
              <w:spacing w:before="120"/>
            </w:pPr>
            <w:r>
              <w:rPr>
                <w:rFonts w:ascii="Carlito" w:hAnsi="Carlito" w:cs="Amiri" w:eastAsia="Amiri"/>
                <w:b/>
                <w:i w:val="0"/>
                <w:color w:val="13294B"/>
                <w:sz w:val="19"/>
              </w:rPr>
              <w:t xml:space="preserve">لماذا الفرق مهم: </w:t>
            </w:r>
            <w:r>
              <w:rPr>
                <w:rFonts w:ascii="Carlito" w:hAnsi="Carlito" w:cs="Amiri" w:eastAsia="Amiri"/>
                <w:b w:val="0"/>
                <w:i w:val="0"/>
                <w:color w:val="1C2430"/>
                <w:sz w:val="19"/>
              </w:rPr>
              <w:t>العنوان الأول محايد تمامًا ولا يوصل أي رسالة بحد ذاته — يحتاج القارئ لدراسة الرسم كاملاً ليكتشف الاتجاه والسبب المحتمل. العنوان الثاني يوصل النتيجة والفرضية السببية فورًا؛ حتى قارئ يتصفح التقرير بسرعة يلتقط الرسالة الجوهرية من العنوان وحده.</w:t>
            </w:r>
          </w:p>
        </w:tc>
      </w:tr>
    </w:tbl>
    <w:p>
      <w:pPr>
        <w:spacing w:after="160"/>
      </w:pPr>
    </w:p>
    <w:p>
      <w:pPr>
        <w:bidi/>
      </w:pPr>
      <w:r>
        <w:rPr>
          <w:rFonts w:ascii="Carlito" w:hAnsi="Carlito" w:cs="Amiri" w:eastAsia="Amiri"/>
          <w:b/>
          <w:i w:val="0"/>
          <w:color w:val="13294B"/>
          <w:sz w:val="26"/>
        </w:rPr>
        <w:t>🧠 ومضة إدارية — المراقبة التسييرية ولوحات القيادة (Management Control &amp; KPI Dashboards)</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top w:val="single" w:sz="4" w:space="0" w:color="D8D2C2"/>
              <w:bottom w:val="single" w:sz="4" w:space="0" w:color="D8D2C2"/>
              <w:left w:val="single" w:sz="4" w:space="0" w:color="D8D2C2"/>
              <w:right w:val="single" w:sz="4" w:space="0" w:color="D8D2C2"/>
            </w:tcBorders>
          </w:tcPr>
          <w:p>
            <w:pPr>
              <w:bidi/>
              <w:spacing w:line="312" w:lineRule="auto"/>
            </w:pPr>
            <w:r>
              <w:rPr>
                <w:rFonts w:ascii="Carlito" w:hAnsi="Carlito" w:cs="Amiri" w:eastAsia="Amiri"/>
                <w:b w:val="0"/>
                <w:i w:val="0"/>
                <w:color w:val="1C2430"/>
                <w:sz w:val="22"/>
              </w:rPr>
              <w:t>المراقبة التسييرية (بالفرنسية Contrôle de Gestion، وبالإنجليزية أقرب لـ Management Control) هي الجسر بين التخطيط الاستراتيجي البعيد وبين القرار اليومي: نظام معلومات وتحليل يتيح للمسؤول متابعة الأداء الفعلي أولاً بأول واتخاذ إجراء تصحيحي قبل أن تتحول الانحرافات الصغيرة إلى أزمات كبيرة.</w:t>
            </w:r>
          </w:p>
          <w:p>
            <w:pPr>
              <w:bidi/>
              <w:spacing w:line="312" w:lineRule="auto" w:before="120"/>
            </w:pPr>
            <w:r>
              <w:rPr>
                <w:rFonts w:ascii="Carlito" w:hAnsi="Carlito" w:cs="Amiri" w:eastAsia="Amiri"/>
                <w:b w:val="0"/>
                <w:i w:val="0"/>
                <w:color w:val="1C2430"/>
                <w:sz w:val="22"/>
              </w:rPr>
              <w:t>الأداة العملية لهذا هي لوحة القيادة (Dashboard) — لكن الخطأ الأشيع عند بنائها هو حشوها بأكبر عدد ممكن من الأرقام ظنًا أن "أكثر = أفضل". العكس صحيح: لوحة قيادة مثقلة بعشرات المؤشرات تُفقِد المسؤول القدرة على التمييز بين ما هو حرج وما هو ثانوي، فيتوه بين الأرقام بدل أن يسترشد بها. المؤشر الجيد يجتاز اختبار SMART: محدد (Specific)، قابل للقياس (Measurable)، قابل للتحقيق (Achievable)، ذو صلة حقيقية بالهدف (Relevant)، ومحدد زمنيًا (Time-bound).</w:t>
            </w:r>
          </w:p>
          <w:p>
            <w:pPr>
              <w:bidi/>
              <w:spacing w:line="312" w:lineRule="auto" w:before="120"/>
            </w:pPr>
            <w:r>
              <w:rPr>
                <w:rFonts w:ascii="Carlito" w:hAnsi="Carlito" w:cs="Amiri" w:eastAsia="Amiri"/>
                <w:b w:val="0"/>
                <w:i w:val="0"/>
                <w:color w:val="1C2430"/>
                <w:sz w:val="22"/>
              </w:rPr>
              <w:t>مثال: مدير عمليات وضع لوحة قيادة بها 40 مؤشرًا مختلفًا يراجعها أسبوعيًا. عمليًا، لا يستطيع أحد استيعاب 40 مؤشرًا بشكل مفيد أسبوعيًا — والنتيجة الفعلية أنه يتصفحها سريعًا دون أن يغيّر أي قرار بناءً عليها فعلاً. لوحة بـ 6-8 مؤشرات مختارة بعناية، كل منها مرتبط بمسؤول واضح يمكن مساءلته، أكثر فائدة بأضعاف من لوحة بـ 40 مؤشرًا لا يُستخدَم معظمها فعليًا لاتخاذ قرار.</w:t>
            </w:r>
          </w:p>
          <w:p>
            <w:pPr>
              <w:bidi/>
              <w:spacing w:line="312" w:lineRule="auto" w:before="120"/>
            </w:pPr>
            <w:r>
              <w:rPr>
                <w:rFonts w:ascii="Carlito" w:hAnsi="Carlito" w:cs="Amiri" w:eastAsia="Amiri"/>
                <w:b w:val="0"/>
                <w:i w:val="0"/>
                <w:color w:val="1C2430"/>
                <w:sz w:val="22"/>
              </w:rPr>
              <w:t>قاعدة ذهبية لأي مدقق يراجع نظام مراقبة تسييرية: المؤشر الذي لا يستطيع أحد أن يشرح لك ما القرار الذي اتُّخِذ بناءً عليه آخر مرة، هو مؤشر عديم الفائدة عمليًا مهما بدا احترافيًا في العرض.</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اختر أقل عدد ممكن من المؤشرات التي تعكس فعلاً الأهداف الاستراتيجية، لا كل ما يمكن قياسه تقنيًا</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اربط كل مؤشر بمسؤول واحد واضح يمكن مساءلته عنه تحديدًا، لا بقسم كامل بلا ملكية فردية</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عند تدقيق أي لوحة قيادة، اسأل عن آخر قرار فعلي اتُّخِذ بناءً على كل مؤشر — المؤشر بلا إجابة هو مؤشر زائد</w:t>
            </w:r>
          </w:p>
        </w:tc>
      </w:tr>
    </w:tbl>
    <w:p>
      <w:pPr>
        <w:spacing w:after="160"/>
      </w:pPr>
    </w:p>
    <w:p>
      <w:pPr>
        <w:bidi/>
      </w:pPr>
      <w:r>
        <w:rPr>
          <w:rFonts w:ascii="Carlito" w:hAnsi="Carlito" w:cs="Amiri" w:eastAsia="Amiri"/>
          <w:b/>
          <w:i w:val="0"/>
          <w:color w:val="13294B"/>
          <w:sz w:val="26"/>
        </w:rPr>
        <w:t>📖 مصطلح الأسبوع</w:t>
      </w:r>
    </w:p>
    <w:tbl>
      <w:tblPr>
        <w:tblW w:type="auto" w:w="0"/>
        <w:jc w:val="center"/>
        <w:tblLook w:firstColumn="1" w:firstRow="1" w:lastColumn="0" w:lastRow="0" w:noHBand="0" w:noVBand="1" w:val="04A0"/>
      </w:tblPr>
      <w:tblGrid>
        <w:gridCol w:w="9936"/>
      </w:tblGrid>
      <w:tr>
        <w:tc>
          <w:tcPr>
            <w:tcW w:type="dxa" w:w="9936"/>
            <w:shd w:fill="13294B"/>
            <w:tcMar>
              <w:top w:w="120" w:type="dxa"/>
              <w:bottom w:w="120" w:type="dxa"/>
              <w:left w:w="200" w:type="dxa"/>
              <w:right w:w="200" w:type="dxa"/>
            </w:tcMar>
          </w:tcPr>
          <w:p>
            <w:pPr>
              <w:bidi/>
            </w:pPr>
            <w:r>
              <w:rPr>
                <w:rFonts w:ascii="Carlito" w:hAnsi="Carlito" w:cs="Amiri" w:eastAsia="Amiri"/>
                <w:b/>
                <w:i w:val="0"/>
                <w:color w:val="FFFFFF"/>
                <w:sz w:val="26"/>
              </w:rPr>
              <w:t xml:space="preserve">تجاوز الإدارة للضوابط  </w:t>
            </w:r>
            <w:r>
              <w:rPr>
                <w:rFonts w:ascii="Carlito" w:hAnsi="Carlito" w:cs="Amiri" w:eastAsia="Amiri"/>
                <w:b w:val="0"/>
                <w:i/>
                <w:color w:val="E8D9A0"/>
                <w:sz w:val="22"/>
              </w:rPr>
              <w:t>(Management Override)</w:t>
            </w:r>
          </w:p>
          <w:p>
            <w:pPr>
              <w:bidi/>
              <w:spacing w:before="120" w:line="312" w:lineRule="auto"/>
            </w:pPr>
            <w:r>
              <w:rPr>
                <w:rFonts w:ascii="Carlito" w:hAnsi="Carlito" w:cs="Amiri" w:eastAsia="Amiri"/>
                <w:b w:val="0"/>
                <w:i w:val="0"/>
                <w:color w:val="FFFFFF"/>
                <w:sz w:val="21"/>
              </w:rPr>
              <w:t>قيام الإدارة العليا بتجاوز الضوابط الداخلية القائمة والمعتمدة رسميًا، غالبًا بحجة الاستثناء الطارئ أو الظرف الخاص، مما يُضعف موثوقية النظام الرقابي بأكمله.</w:t>
            </w:r>
          </w:p>
          <w:p>
            <w:pPr>
              <w:bidi/>
              <w:spacing w:before="120"/>
            </w:pPr>
            <w:r>
              <w:rPr>
                <w:rFonts w:ascii="Carlito" w:hAnsi="Carlito" w:cs="Amiri" w:eastAsia="Amiri"/>
                <w:b/>
                <w:i w:val="0"/>
                <w:color w:val="E8D9A0"/>
                <w:sz w:val="19"/>
              </w:rPr>
              <w:t xml:space="preserve">في الممارسة: </w:t>
            </w:r>
            <w:r>
              <w:rPr>
                <w:rFonts w:ascii="Carlito" w:hAnsi="Carlito" w:cs="Amiri" w:eastAsia="Amiri"/>
                <w:b w:val="0"/>
                <w:i/>
                <w:color w:val="E8D9A0"/>
                <w:sz w:val="19"/>
              </w:rPr>
              <w:t>تجاوز الإدارة للضوابط يُصنَّف من أخطر مخاطر الغش على الإطلاق لأنه يأتي من أعلى الهرم التنظيمي، حيث تكون آليات الرقابة المعتادة أضعف ما يمكن أن تكون.</w:t>
            </w:r>
          </w:p>
        </w:tc>
      </w:tr>
    </w:tbl>
    <w:p>
      <w:pPr>
        <w:spacing w:after="160"/>
      </w:pPr>
    </w:p>
    <w:p>
      <w:pPr>
        <w:bidi/>
      </w:pPr>
      <w:r>
        <w:rPr>
          <w:rFonts w:ascii="Carlito" w:hAnsi="Carlito" w:cs="Amiri" w:eastAsia="Amiri"/>
          <w:b/>
          <w:i w:val="0"/>
          <w:color w:val="13294B"/>
          <w:sz w:val="26"/>
        </w:rPr>
        <w:t>📌 أبرز التطورات حسب المجال</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 التدقيق الداخلي  </w:t>
            </w:r>
            <w:r>
              <w:rPr>
                <w:rFonts w:ascii="Carlito" w:hAnsi="Carlito" w:cs="Amiri" w:eastAsia="Amiri"/>
                <w:b/>
                <w:i w:val="0"/>
                <w:color w:val="E8D9A0"/>
                <w:sz w:val="20"/>
              </w:rPr>
              <w:t xml:space="preserve"> 🟠 [معايير جديدة | عالٍ]</w:t>
            </w:r>
          </w:p>
          <w:p>
            <w:pPr>
              <w:spacing w:before="40"/>
              <w:jc w:val="right"/>
              <w:bidi/>
            </w:pPr>
            <w:r>
              <w:rPr>
                <w:rFonts w:ascii="Carlito" w:hAnsi="Carlito" w:cs="Amiri" w:eastAsia="Amiri"/>
                <w:b w:val="0"/>
                <w:i/>
                <w:color w:val="E8D9A0"/>
                <w:sz w:val="17"/>
              </w:rPr>
              <w:t>🎓 المهارة المكتسبة: فهم معايير التدقيق الداخلي الجديدة</w:t>
            </w:r>
          </w:p>
        </w:tc>
      </w:tr>
    </w:tbl>
    <w:p>
      <w:pPr>
        <w:bidi/>
        <w:spacing w:before="80"/>
      </w:pPr>
      <w:r>
        <w:rPr>
          <w:rFonts w:ascii="Carlito" w:hAnsi="Carlito" w:cs="Amiri" w:eastAsia="Amiri"/>
          <w:b/>
          <w:i w:val="0"/>
          <w:color w:val="13294B"/>
          <w:sz w:val="24"/>
        </w:rPr>
        <w:t>التحديثات الأخيرة في معايير التدقيق الداخلي</w:t>
      </w:r>
    </w:p>
    <w:p>
      <w:pPr>
        <w:bidi/>
        <w:spacing w:line="312" w:lineRule="auto" w:after="120"/>
      </w:pPr>
      <w:r>
        <w:rPr>
          <w:rFonts w:ascii="Carlito" w:hAnsi="Carlito" w:cs="Amiri" w:eastAsia="Amiri"/>
          <w:b w:val="0"/>
          <w:i w:val="0"/>
          <w:color w:val="1C2430"/>
          <w:sz w:val="22"/>
        </w:rPr>
        <w:t>تم إصدار تحديثات جديدة في معايير التدقيق الداخلي تشدد على أهمية التركيز على حوكمة الأمن السيبراني وتطبيقات الذكاء الاصطناعي.</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right w:val="single" w:sz="20" w:space="0" w:color="B5541A"/>
            </w:tcBorders>
          </w:tcPr>
          <w:p>
            <w:pPr>
              <w:bidi/>
            </w:pPr>
            <w:r>
              <w:rPr>
                <w:rFonts w:ascii="Carlito" w:hAnsi="Carlito" w:cs="Amiri" w:eastAsia="Amiri"/>
                <w:b/>
                <w:i w:val="0"/>
                <w:color w:val="13294B"/>
                <w:sz w:val="21"/>
              </w:rPr>
              <w:t xml:space="preserve">الأثر: </w:t>
            </w:r>
            <w:r>
              <w:rPr>
                <w:rFonts w:ascii="Carlito" w:hAnsi="Carlito" w:cs="Amiri" w:eastAsia="Amiri"/>
                <w:b w:val="0"/>
                <w:i w:val="0"/>
                <w:color w:val="1C2430"/>
                <w:sz w:val="21"/>
              </w:rPr>
              <w:t>هذه التحديثات تؤثر على كيفية أداء التدقيق الداخلي وتتطلب مهارات جديدة من تدققي.</w:t>
            </w:r>
          </w:p>
          <w:p>
            <w:pPr>
              <w:bidi/>
              <w:spacing w:before="80"/>
            </w:pPr>
            <w:r>
              <w:rPr>
                <w:rFonts w:ascii="Carlito" w:hAnsi="Carlito" w:cs="Amiri" w:eastAsia="Amiri"/>
                <w:b/>
                <w:i w:val="0"/>
                <w:color w:val="13294B"/>
                <w:sz w:val="21"/>
              </w:rPr>
              <w:t xml:space="preserve">ماذا تفعل بهذا الآن: </w:t>
            </w:r>
            <w:r>
              <w:rPr>
                <w:rFonts w:ascii="Carlito" w:hAnsi="Carlito" w:cs="Amiri" w:eastAsia="Amiri"/>
                <w:b w:val="0"/>
                <w:i w:val="0"/>
                <w:color w:val="1C2430"/>
                <w:sz w:val="21"/>
              </w:rPr>
              <w:t>تأكد من مراجعة التحديثات الجديدة والتحضير لتطبيقها في عملك.</w:t>
            </w:r>
          </w:p>
          <w:p>
            <w:pPr>
              <w:bidi/>
              <w:spacing w:before="80"/>
            </w:pPr>
            <w:r>
              <w:rPr>
                <w:rFonts w:ascii="Carlito" w:hAnsi="Carlito" w:cs="Amiri" w:eastAsia="Amiri"/>
                <w:b/>
                <w:i w:val="0"/>
                <w:color w:val="5B6472"/>
                <w:sz w:val="19"/>
              </w:rPr>
              <w:t xml:space="preserve">المصدر: </w:t>
            </w:r>
            <w:hyperlink r:id="rId12">
              <w:r>
                <w:rPr>
                  <w:rFonts w:ascii="Carlito" w:hAnsi="Carlito" w:cs="Amiri" w:eastAsia="Amiri"/>
                  <w:sz w:val="19"/>
                  <w:u w:val="single"/>
                  <w:color w:val="C9A227"/>
                </w:rPr>
                <w:t>The IIA</w:t>
              </w:r>
            </w:hyperlink>
          </w:p>
        </w:tc>
      </w:tr>
    </w:tbl>
    <w:p>
      <w:pPr>
        <w:spacing w:after="200"/>
      </w:pPr>
    </w:p>
    <w:p>
      <w:pPr>
        <w:bidi/>
      </w:pPr>
      <w:r>
        <w:rPr>
          <w:rFonts w:ascii="Carlito" w:hAnsi="Carlito" w:cs="Amiri" w:eastAsia="Amiri"/>
          <w:b/>
          <w:i w:val="0"/>
          <w:color w:val="13294B"/>
          <w:sz w:val="26"/>
        </w:rPr>
        <w:t>🧭 مقترحات لمهام تدقيق</w:t>
      </w:r>
    </w:p>
    <w:p>
      <w:pPr>
        <w:bidi/>
        <w:spacing w:after="120"/>
      </w:pPr>
      <w:r>
        <w:rPr>
          <w:rFonts w:ascii="Carlito" w:hAnsi="Carlito" w:cs="Amiri" w:eastAsia="Amiri"/>
          <w:b w:val="0"/>
          <w:i/>
          <w:color w:val="5B6472"/>
          <w:sz w:val="19"/>
        </w:rPr>
        <w:t>أفكار جاهزة لخطة عملكم القادمة — عناصر أساسية، لا مجرد عناوين</w:t>
      </w: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حوكمة مشاريع التحول الرقمي والتقني الكبرى</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التأكد من أن مشاريع التحول التقني الكبرى تُدار بحوكمة تتناسب مع حجم استثمارها ومخاطرها، لا كمشروع تقني معزول عن الإدارة العليا.</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يوجد راعٍ تنفيذي (Executive Sponsor) واضح للمشروع من خارج قسم تكنولوجيا المعلومات نفسه؟</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كيف تُدار التغييرات على نطاق المشروع (Scope Creep) بعد بدء التنفيذ، وهل تخضع لموافقة رسمية موثقة؟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هناك خطة لإدارة التغيير التنظيمي (تدريب المستخدمين، تعديل العمليات) موازية للجانب التقني البحت، أم أن التركيز على التقنية فقط؟</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كيف تُقاس "نجاح" المشروع فعليًا بعد الإطلاق — بمعايير تقنية فقط (النظام يعمل) أم بمعايير أثر تشغيلي حقيقي؟</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مشروع تقني ضخم بلا راعٍ تنفيذي واضح من خارج قسم التقنية، أو نطاق يتوسع بشكل متكرر دون أي موافقة رسمية موثقة على كل توسعة.</w:t>
            </w:r>
          </w:p>
        </w:tc>
      </w:tr>
    </w:tbl>
    <w:p>
      <w:pPr>
        <w:spacing w:after="120"/>
      </w:pP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نموذج قياس رضا العملاء أو المستفيدين الداخليين</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التحقق من أن أدوات قياس الرضا (استبيانات، مؤشرات) تعكس تجربة حقيقية للمستفيد لا نتائج منحازة بفعل طريقة الجمع أو التحليل.</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من يُصمِّم أسئلة الاستبيان، وهل تُراجَع صياغتها لتجنب أسئلة موجِّهة نحو إجابة معينة؟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ما معدل الاستجابة الفعلي للاستبيانات، وهل يكفي إحصائيًا لتعميم النتيجة؟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نتائج الرضا المنخفض تُتابَع فعليًا بخطة تحسين موثقة، أم تُعرَض فقط في تقرير سنوي دون أثر عملي؟</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هناك قناة لالتقاط الشكاوى الفعلية (لا فقط الاستبيانات الدورية)، وهل تُحلَّل مع نتائج الرضا معًا؟</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معدل استجابة منخفض جدًا (أقل من 15-20%) يُستخدَم لتعميم نتيجة "رضا عام مرتفع"، أو نتائج رضا ثابتة بشكل غير طبيعي لسنوات متتالية دون أي تغيّر.</w:t>
            </w:r>
          </w:p>
        </w:tc>
      </w:tr>
    </w:tbl>
    <w:p>
      <w:pPr>
        <w:spacing w:after="120"/>
      </w:pPr>
    </w:p>
    <w:p>
      <w:pPr>
        <w:bidi/>
      </w:pPr>
      <w:r>
        <w:rPr>
          <w:rFonts w:ascii="Carlito" w:hAnsi="Carlito" w:cs="Amiri" w:eastAsia="Amiri"/>
          <w:b/>
          <w:i w:val="0"/>
          <w:color w:val="13294B"/>
          <w:sz w:val="26"/>
        </w:rPr>
        <w:t>🌱 مسار الاحتراف — كيف يفكّر الكبار</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right w:val="single" w:sz="20" w:space="0" w:color="13294B"/>
            </w:tcBorders>
            <w:tcBorders>
              <w:top w:val="single" w:sz="4" w:space="0" w:color="D8D2C2"/>
              <w:bottom w:val="single" w:sz="4" w:space="0" w:color="D8D2C2"/>
              <w:left w:val="single" w:sz="4" w:space="0" w:color="D8D2C2"/>
            </w:tcBorders>
          </w:tcPr>
          <w:p>
            <w:pPr>
              <w:bidi/>
              <w:spacing w:line="312" w:lineRule="auto"/>
            </w:pPr>
            <w:r>
              <w:rPr>
                <w:rFonts w:ascii="Carlito" w:hAnsi="Carlito" w:cs="Amiri" w:eastAsia="Amiri"/>
                <w:b w:val="0"/>
                <w:i w:val="0"/>
                <w:color w:val="1C2430"/>
                <w:sz w:val="22"/>
              </w:rPr>
              <w:t>اختبار "إذن ماذا؟": كل رقم أو ملاحظة بلا أثر واضح على قرار هو مجرد بيانات لا معلومة. مثال: "عدد الفواتير المدفوعة متأخرًا ارتفع 15%" جملة بلا فائدة عملية وحدها؛ "ارتفاع الفواتير المتأخرة 15% يعرّضنا لفقدان خصومات السداد المبكر بقيمة تُقدَّر بـ X" جملة تدفع لقرار فعلي.</w:t>
            </w:r>
          </w:p>
          <w:p>
            <w:pPr>
              <w:bidi/>
              <w:spacing w:before="100"/>
            </w:pPr>
            <w:r>
              <w:rPr>
                <w:rFonts w:ascii="Carlito" w:hAnsi="Carlito" w:cs="Amiri" w:eastAsia="Amiri"/>
                <w:b/>
                <w:i w:val="0"/>
                <w:color w:val="13294B"/>
                <w:sz w:val="20"/>
              </w:rPr>
              <w:t xml:space="preserve">كيف تطبّقها هذا الأسبوع: </w:t>
            </w:r>
            <w:r>
              <w:rPr>
                <w:rFonts w:ascii="Carlito" w:hAnsi="Carlito" w:cs="Amiri" w:eastAsia="Amiri"/>
                <w:b w:val="0"/>
                <w:i/>
                <w:color w:val="5B6472"/>
                <w:sz w:val="20"/>
              </w:rPr>
              <w:t>قبل تسليم أي تحليل، اسأل عن كل نتيجة فيه: "إذن ماذا يجب أن يفعل القارئ الآن؟" واحذف أو أعد صياغة كل نقطة لا تملك إجابة واضحة.</w:t>
            </w:r>
          </w:p>
        </w:tc>
      </w:tr>
    </w:tbl>
    <w:p>
      <w:pPr>
        <w:spacing w:after="120"/>
      </w:pPr>
    </w:p>
    <w:p>
      <w:pPr>
        <w:bidi/>
      </w:pPr>
      <w:r>
        <w:rPr>
          <w:rFonts w:ascii="Carlito" w:hAnsi="Carlito" w:cs="Amiri" w:eastAsia="Amiri"/>
          <w:b/>
          <w:i w:val="0"/>
          <w:color w:val="13294B"/>
          <w:sz w:val="26"/>
        </w:rPr>
        <w:t>⚖️ لحظة توازن</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200" w:type="dxa"/>
              <w:right w:w="200" w:type="dxa"/>
            </w:tcMar>
          </w:tcPr>
          <w:p>
            <w:pPr>
              <w:bidi/>
              <w:spacing w:line="312" w:lineRule="auto"/>
            </w:pPr>
            <w:r>
              <w:rPr>
                <w:rFonts w:ascii="Carlito" w:hAnsi="Carlito" w:cs="Amiri" w:eastAsia="Amiri"/>
                <w:b w:val="0"/>
                <w:i/>
                <w:color w:val="1C2430"/>
                <w:sz w:val="21"/>
              </w:rPr>
              <w:t>امنح نفسك "انتقالاً واعيًا" من دقيقة واحدة فقط بين اجتماعين متتاليين — نفس عميق، أو نظرة من النافذة، أو مجرد الوقوف والتمدد. الدخول المباشر من اجتماع لآخر بذهن ما زال مشغولاً بالسابق يقلل جودة استيعابك للثاني دون أن تشعر بذلك فورًا.</w:t>
            </w:r>
          </w:p>
        </w:tc>
      </w:tr>
    </w:tbl>
    <w:p>
      <w:pPr>
        <w:spacing w:after="160"/>
      </w:pPr>
    </w:p>
    <w:p>
      <w:pPr>
        <w:bidi/>
      </w:pPr>
      <w:r>
        <w:rPr>
          <w:rFonts w:ascii="Carlito" w:hAnsi="Carlito" w:cs="Amiri" w:eastAsia="Amiri"/>
          <w:b/>
          <w:i w:val="0"/>
          <w:color w:val="13294B"/>
          <w:sz w:val="26"/>
        </w:rPr>
        <w:t>📚 للقراءة هذا الأسبوع</w:t>
      </w:r>
    </w:p>
    <w:p>
      <w:pPr>
        <w:bidi/>
        <w:spacing w:after="80"/>
      </w:pPr>
      <w:r>
        <w:rPr>
          <w:rFonts w:ascii="Carlito" w:hAnsi="Carlito" w:cs="Amiri" w:eastAsia="Amiri"/>
          <w:b w:val="0"/>
          <w:i w:val="0"/>
          <w:color w:val="5B6472"/>
          <w:sz w:val="21"/>
        </w:rPr>
        <w:t xml:space="preserve">• تقرير — </w:t>
      </w:r>
      <w:hyperlink r:id="rId13">
        <w:r>
          <w:rPr>
            <w:rFonts w:ascii="Carlito" w:hAnsi="Carlito" w:cs="Amiri" w:eastAsia="Amiri"/>
            <w:sz w:val="21"/>
            <w:b/>
            <w:u w:val="single"/>
            <w:color w:val="C9A227"/>
          </w:rPr>
          <w:t>Middle Eastern consumers are reshaping the future of the food sector</w:t>
        </w:r>
      </w:hyperlink>
      <w:r>
        <w:rPr>
          <w:rFonts w:ascii="Carlito" w:hAnsi="Carlito" w:cs="Amiri" w:eastAsia="Amiri"/>
          <w:b w:val="0"/>
          <w:i w:val="0"/>
          <w:color w:val="5B6472"/>
          <w:sz w:val="19"/>
        </w:rPr>
        <w:t xml:space="preserve">  (PwC)</w:t>
      </w:r>
    </w:p>
    <w:p>
      <w:pPr>
        <w:bidi/>
        <w:spacing w:after="80"/>
      </w:pPr>
      <w:r>
        <w:rPr>
          <w:rFonts w:ascii="Carlito" w:hAnsi="Carlito" w:cs="Amiri" w:eastAsia="Amiri"/>
          <w:b w:val="0"/>
          <w:i w:val="0"/>
          <w:color w:val="5B6472"/>
          <w:sz w:val="21"/>
        </w:rPr>
        <w:t xml:space="preserve">• مقال — </w:t>
      </w:r>
      <w:hyperlink r:id="rId14">
        <w:r>
          <w:rPr>
            <w:rFonts w:ascii="Carlito" w:hAnsi="Carlito" w:cs="Amiri" w:eastAsia="Amiri"/>
            <w:sz w:val="21"/>
            <w:b/>
            <w:u w:val="single"/>
            <w:color w:val="C9A227"/>
          </w:rPr>
          <w:t>Dennis Ducro | McKinsey &amp; Company</w:t>
        </w:r>
      </w:hyperlink>
      <w:r>
        <w:rPr>
          <w:rFonts w:ascii="Carlito" w:hAnsi="Carlito" w:cs="Amiri" w:eastAsia="Amiri"/>
          <w:b w:val="0"/>
          <w:i w:val="0"/>
          <w:color w:val="5B6472"/>
          <w:sz w:val="19"/>
        </w:rPr>
        <w:t xml:space="preserve">  (McKinsey &amp; Company)</w:t>
      </w:r>
    </w:p>
    <w:p>
      <w:pPr>
        <w:bidi/>
        <w:spacing w:after="80"/>
      </w:pPr>
      <w:r>
        <w:rPr>
          <w:rFonts w:ascii="Carlito" w:hAnsi="Carlito" w:cs="Amiri" w:eastAsia="Amiri"/>
          <w:b w:val="0"/>
          <w:i w:val="0"/>
          <w:color w:val="5B6472"/>
          <w:sz w:val="21"/>
        </w:rPr>
        <w:t xml:space="preserve">• تقرير — </w:t>
      </w:r>
      <w:hyperlink r:id="rId15">
        <w:r>
          <w:rPr>
            <w:rFonts w:ascii="Carlito" w:hAnsi="Carlito" w:cs="Amiri" w:eastAsia="Amiri"/>
            <w:sz w:val="21"/>
            <w:b/>
            <w:u w:val="single"/>
            <w:color w:val="C9A227"/>
          </w:rPr>
          <w:t>Middle East MA Regional Capital and Technology Investments Maintaining the Resilience of the M&amp;A Market</w:t>
        </w:r>
      </w:hyperlink>
      <w:r>
        <w:rPr>
          <w:rFonts w:ascii="Carlito" w:hAnsi="Carlito" w:cs="Amiri" w:eastAsia="Amiri"/>
          <w:b w:val="0"/>
          <w:i w:val="0"/>
          <w:color w:val="5B6472"/>
          <w:sz w:val="19"/>
        </w:rPr>
        <w:t xml:space="preserve">  (PwC)</w:t>
      </w:r>
    </w:p>
    <w:p>
      <w:pPr>
        <w:bidi/>
        <w:spacing w:after="80"/>
      </w:pPr>
      <w:r>
        <w:rPr>
          <w:rFonts w:ascii="Carlito" w:hAnsi="Carlito" w:cs="Amiri" w:eastAsia="Amiri"/>
          <w:b w:val="0"/>
          <w:i w:val="0"/>
          <w:color w:val="5B6472"/>
          <w:sz w:val="21"/>
        </w:rPr>
        <w:t xml:space="preserve">• مقال — </w:t>
      </w:r>
      <w:hyperlink r:id="rId16">
        <w:r>
          <w:rPr>
            <w:rFonts w:ascii="Carlito" w:hAnsi="Carlito" w:cs="Amiri" w:eastAsia="Amiri"/>
            <w:sz w:val="21"/>
            <w:b/>
            <w:u w:val="single"/>
            <w:color w:val="C9A227"/>
          </w:rPr>
          <w:t>Abdullah Iftahy | McKinsey &amp; Company</w:t>
        </w:r>
      </w:hyperlink>
      <w:r>
        <w:rPr>
          <w:rFonts w:ascii="Carlito" w:hAnsi="Carlito" w:cs="Amiri" w:eastAsia="Amiri"/>
          <w:b w:val="0"/>
          <w:i w:val="0"/>
          <w:color w:val="5B6472"/>
          <w:sz w:val="19"/>
        </w:rPr>
        <w:t xml:space="preserve">  (McKinsey &amp; Company)</w:t>
      </w:r>
    </w:p>
    <w:p>
      <w:pPr>
        <w:spacing w:before="160" w:after="120"/>
        <w:pBdr>
          <w:bottom w:val="single" w:sz="8" w:space="1" w:color="C9A227"/>
        </w:pBdr>
      </w:pPr>
    </w:p>
    <w:p>
      <w:pPr>
        <w:bidi/>
      </w:pPr>
      <w:r>
        <w:rPr>
          <w:rFonts w:ascii="Carlito" w:hAnsi="Carlito" w:cs="Amiri" w:eastAsia="Amiri"/>
          <w:b/>
          <w:i w:val="0"/>
          <w:color w:val="13294B"/>
          <w:sz w:val="22"/>
        </w:rPr>
        <w:t xml:space="preserve">📕 كتاب الأسبوع: </w:t>
      </w:r>
      <w:r>
        <w:rPr>
          <w:rFonts w:ascii="Carlito" w:hAnsi="Carlito" w:cs="Amiri" w:eastAsia="Amiri"/>
          <w:b/>
          <w:i w:val="0"/>
          <w:color w:val="1C2430"/>
          <w:sz w:val="22"/>
        </w:rPr>
        <w:t>The Checklist Manifesto — Atul Gawande</w:t>
      </w:r>
    </w:p>
    <w:p>
      <w:pPr>
        <w:bidi/>
      </w:pPr>
      <w:r>
        <w:rPr>
          <w:rFonts w:ascii="Carlito" w:hAnsi="Carlito" w:cs="Amiri" w:eastAsia="Amiri"/>
          <w:b w:val="0"/>
          <w:i/>
          <w:color w:val="5B6472"/>
          <w:sz w:val="21"/>
        </w:rPr>
        <w:t>يوضّح بأمثلة من الطب والطيران كيف تمنع القوائم المرجعية البسيطة أخطاء كارثية في بيئات معقدة.</w:t>
      </w:r>
    </w:p>
    <w:p>
      <w:pPr>
        <w:bidi/>
        <w:spacing w:before="80"/>
      </w:pPr>
      <w:r>
        <w:rPr>
          <w:rFonts w:ascii="Carlito" w:hAnsi="Carlito" w:cs="Amiri" w:eastAsia="Amiri"/>
          <w:b/>
          <w:i w:val="0"/>
          <w:color w:val="13294B"/>
          <w:sz w:val="20"/>
        </w:rPr>
        <w:t xml:space="preserve">💡 طبّقه هذا الأسبوع: </w:t>
      </w:r>
      <w:r>
        <w:rPr>
          <w:rFonts w:ascii="Carlito" w:hAnsi="Carlito" w:cs="Amiri" w:eastAsia="Amiri"/>
          <w:b w:val="0"/>
          <w:i w:val="0"/>
          <w:color w:val="1C2430"/>
          <w:sz w:val="20"/>
        </w:rPr>
        <w:t>صمّموا قائمة تحقق من 5-7 بنود فقط لأكثر خطوة تتكرر أخطاؤها في عملكم اليومي — القوائم الطويلة جدًا تُهمَل عمليًا.</w:t>
      </w:r>
    </w:p>
    <w:p>
      <w:pPr>
        <w:spacing w:after="16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Carlito" w:hAnsi="Carlito" w:cs="Amiri" w:eastAsia="Amiri"/>
        <w:b w:val="0"/>
        <w:i w:val="0"/>
        <w:color w:val="5B6472"/>
        <w:sz w:val="16"/>
      </w:rPr>
      <w:t xml:space="preserve">النشرة الأسبوعية للحوكمة والتدقيق — سري وللاستخدام الداخلي فقط  |  </w:t>
    </w:r>
    <w:r>
      <w:rPr>
        <w:rFonts w:ascii="Carlito" w:hAnsi="Carlito" w:cs="Amiri" w:eastAsia="Amiri"/>
        <w:b w:val="0"/>
        <w:i w:val="0"/>
        <w:color w:val="5B64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orporatecompliance.org/news-and-insights/articles/compliance-illusion-why-passing-audit-doesnt-mean-youre-secure" TargetMode="External"/><Relationship Id="rId11" Type="http://schemas.openxmlformats.org/officeDocument/2006/relationships/hyperlink" Target="https://www.ipsasb.org/publications/social-benefits-disclosure-cash-transfers-individuals-or-households" TargetMode="External"/><Relationship Id="rId12" Type="http://schemas.openxmlformats.org/officeDocument/2006/relationships/hyperlink" Target="https://www.theiia.org/globalassets/site/chapters/united-states/washington/seattle/march-2026-newsletter.pdf" TargetMode="External"/><Relationship Id="rId13" Type="http://schemas.openxmlformats.org/officeDocument/2006/relationships/hyperlink" Target="https://www.pwc.com/m1/en/media-centre/2025/middle-east-consumers-are-reshaping-the-future-of-food-ar.html" TargetMode="External"/><Relationship Id="rId14" Type="http://schemas.openxmlformats.org/officeDocument/2006/relationships/hyperlink" Target="https://www.mckinsey.com/our-people/dennis-ducro/ar-AE" TargetMode="External"/><Relationship Id="rId15" Type="http://schemas.openxmlformats.org/officeDocument/2006/relationships/hyperlink" Target="https://www.pwc.com/m1/en/media-centre/2026/middle-east-ma-regional-capital-technology-ar.html" TargetMode="External"/><Relationship Id="rId16" Type="http://schemas.openxmlformats.org/officeDocument/2006/relationships/hyperlink" Target="https://www.mckinsey.com/our-people/abdellah-iftahy/ar-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