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9  •  2026-10-12</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تقنيات الذكاء الاصطناعي تغير مجال التدقيق الداخلي وتحسين الكفاءة</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عالم التدقيق الداخلي، تقنيات الذكاء الاصطناعي والتحليلات التكنولوجية تتحول من مجرد وسائل مساعدة إلى أداة حاسمة لتحسين الكفاءة وتوفير معلومات دقيقة. من خلال فهم هذه التقنيات، يمكن للمتدقيقين بناء مهاراتهم وتحسين أدائهم.</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توقعات جديدة تشير إلى أن التدقيق الداخلي سيستخدم الذكاء الاصطناعي والتحليلات التكنولوجية بشكل متزايد بحلول عام 2035.</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مؤتمرات متخصصة مثل AI Compliance Conference Series تركز على تأثير الذكاء الاصطناعي على تدقيق الالتزام.</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ISACA أطلقت إصدارًا جديدًا من إطار عمل التدقيق التكنولوجي (ITAF) مع تحديثات في مجال الحوكمة والتحليلات التكنولوجية.</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2035</w:t>
            </w:r>
          </w:p>
          <w:p>
            <w:pPr>
              <w:bidi/>
              <w:spacing w:before="120" w:line="312" w:lineRule="auto"/>
            </w:pPr>
            <w:r>
              <w:rPr>
                <w:rFonts w:ascii="Carlito" w:hAnsi="Carlito" w:cs="Amiri" w:eastAsia="Amiri"/>
                <w:b w:val="0"/>
                <w:i w:val="0"/>
                <w:color w:val="1C2430"/>
                <w:sz w:val="22"/>
              </w:rPr>
              <w:t>توقعات تشير إلى أن التدقيق الداخلي سيكون يعتمد بشكل كبير على تقنيات الذكاء الاصطناعي والتحليلات التكنولوجية بحلول عام 2035.</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The Internal Audit Foundation</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Exposure Draft (ED) 80, Improvements to IPSAS, 2021</w:t>
            </w:r>
            <w:r>
              <w:rPr>
                <w:rFonts w:ascii="Carlito" w:hAnsi="Carlito" w:cs="Amiri" w:eastAsia="Amiri"/>
                <w:b/>
                <w:i w:val="0"/>
                <w:color w:val="8A6D1A"/>
                <w:sz w:val="19"/>
              </w:rPr>
              <w:t xml:space="preserve">  [IPSASB | مسودة للتعليق]</w:t>
            </w:r>
          </w:p>
          <w:p>
            <w:pPr>
              <w:bidi/>
              <w:spacing w:before="60"/>
            </w:pPr>
            <w:r>
              <w:rPr>
                <w:rFonts w:ascii="Carlito" w:hAnsi="Carlito" w:cs="Amiri" w:eastAsia="Amiri"/>
                <w:b w:val="0"/>
                <w:i/>
                <w:color w:val="5B6472"/>
                <w:sz w:val="18"/>
              </w:rPr>
              <w:t>الإصدار: لم يتم تحديد تاريخ  |  آخر أجل للتعليق: لم يتم تحديد تاريخ</w:t>
            </w:r>
          </w:p>
          <w:p>
            <w:pPr>
              <w:bidi/>
              <w:spacing w:before="120" w:line="312" w:lineRule="auto"/>
            </w:pPr>
            <w:r>
              <w:rPr>
                <w:rFonts w:ascii="Carlito" w:hAnsi="Carlito" w:cs="Amiri" w:eastAsia="Amiri"/>
                <w:b w:val="0"/>
                <w:i w:val="0"/>
                <w:color w:val="1C2430"/>
                <w:sz w:val="21"/>
              </w:rPr>
              <w:t>تقترح هذه المسودة تحسينات بسيطة في المعايير المحاسبية الحكومية العامة (IPSAS) لمعالجة القضايا التي رُفعت من قبل أصحاب المصلحة.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سيساعد هذا التحسين في تحسين جودة المعلومات المحاسبية الحكومية.</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IPSASB</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المقدمة</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مقدمة تقرير التدقيق الجيدة تجيب أربعة أسئلة في فقرات قصيرة: لماذا أجريت هذه المهمة (من طلبها، ما السياق)؟ ما الأهداف والنطاق بالتحديد (ما شمل وما استُثني عمدًا)؟ ما المنهجية المستخدمة باختصار (مراجعة وثائق، عينة، مقابلات)؟ وما فترة التغطية الزمنية؟</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"هذا تقرير عن تدقيق قسم الموارد البشرية الذي أجرته وحدة التدقيق الداخلي."</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"بناءً على خطة التدقيق السنوية المعتمدة من لجنة التدقيق، راجعنا عملية التوظيف في إدارة الموارد البشرية للفترة من يناير إلى يونيو 2026. شمل النطاق مراجعة إجراءات الإعلان والفرز والتعيين لعينة من 30 ملف توظيف؛ استُثنيت من النطاق ملفات الترقيات الداخلية والتعيينات المؤقتة. اعتمدت المنهجية على مراجعة الوثائق ومقابلات مع 4 مسؤولي توظيف."</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المثال الأول لا يحدد النطاق (أي جزء من الموارد البشرية؟) ولا المنهجية ولا الفترة — القارئ لا يعرف ماذا يُغطَّى فعلاً وماذا لا. المثال الثاني يحدد كل عنصر بدقة، بما في ذلك ما استُثني عمدًا (نقطة يُغفلها كثيرون رغم أهميتها لتجنب سوء الفهم لاحقًا حول "لماذا لم تُغطُّوا كذا؟").</w:t>
            </w:r>
          </w:p>
        </w:tc>
      </w:tr>
    </w:tbl>
    <w:p>
      <w:pPr>
        <w:spacing w:after="160"/>
      </w:pPr>
    </w:p>
    <w:p>
      <w:pPr>
        <w:bidi/>
      </w:pPr>
      <w:r>
        <w:rPr>
          <w:rFonts w:ascii="Carlito" w:hAnsi="Carlito" w:cs="Amiri" w:eastAsia="Amiri"/>
          <w:b/>
          <w:i w:val="0"/>
          <w:color w:val="13294B"/>
          <w:sz w:val="26"/>
        </w:rPr>
        <w:t>🧠 ومضة إدارية — إدارة الموارد البشرية الاستراتيجية (Strategic HR Management)</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الفرق بين موارد بشرية "تنفيذية" (تعالج الرواتب والإجازات وطلبات التوظيف) وموارد بشرية "استراتيجية" هو نقطة الانطلاق: الأولى تبدأ من الطلبات اليومية الواردة، والثانية تبدأ من سؤال مختلف جذريًا: "أي كفاءات ستحتاجها المؤسسة خلال 3-5 سنوات لتحقيق استراتيجيتها، وهل نملك خطة واضحة لتوفيرها؟"</w:t>
            </w:r>
          </w:p>
          <w:p>
            <w:pPr>
              <w:bidi/>
              <w:spacing w:line="312" w:lineRule="auto" w:before="120"/>
            </w:pPr>
            <w:r>
              <w:rPr>
                <w:rFonts w:ascii="Carlito" w:hAnsi="Carlito" w:cs="Amiri" w:eastAsia="Amiri"/>
                <w:b w:val="0"/>
                <w:i w:val="0"/>
                <w:color w:val="1C2430"/>
                <w:sz w:val="22"/>
              </w:rPr>
              <w:t>هذه الأداة تُسمى تخطيط القوى العاملة (Workforce Planning)، وهي الجسر الوحيد بين طموح مكتوب على ورق استراتيجي وواقع بشري قادر فعلاً على تنفيذه. إهمال هذا التخطيط هو السبب الأكثر شيوعًا لفشل استراتيجيات طموحة تبدو ممتازة في اجتماعات مجلس الإدارة لكنها تصطدم بواقع "لا يوجد لدينا من يعرف كيف ينفذ هذا فعليًا" بعد سنتين من إقرارها.</w:t>
            </w:r>
          </w:p>
          <w:p>
            <w:pPr>
              <w:bidi/>
              <w:spacing w:line="312" w:lineRule="auto" w:before="120"/>
            </w:pPr>
            <w:r>
              <w:rPr>
                <w:rFonts w:ascii="Carlito" w:hAnsi="Carlito" w:cs="Amiri" w:eastAsia="Amiri"/>
                <w:b w:val="0"/>
                <w:i w:val="0"/>
                <w:color w:val="1C2430"/>
                <w:sz w:val="22"/>
              </w:rPr>
              <w:t>مثال: مؤسسة أقرت استراتيجية "التحول الرقمي" الطموحة، لكنها لم تراجع فعليًا هل يملك فريقها الحالي مهارات تحليل البيانات أو إدارة المشاريع الرقمية اللازمة، ولا خططت لسد هذه الفجوة (بالتوظيف أو التدريب) قبل الإعلان عن الاستراتيجية. النتيجة المتوقعة: استراتيجية ممتازة على الورق، تنفيذ متعثر على الأرض، وموارد بشرية تُلام لاحقًا رغم أنها لم تُستشَر أصلاً وقت وضع الاستراتيجية.</w:t>
            </w:r>
          </w:p>
          <w:p>
            <w:pPr>
              <w:bidi/>
              <w:spacing w:line="312" w:lineRule="auto" w:before="120"/>
            </w:pPr>
            <w:r>
              <w:rPr>
                <w:rFonts w:ascii="Carlito" w:hAnsi="Carlito" w:cs="Amiri" w:eastAsia="Amiri"/>
                <w:b w:val="0"/>
                <w:i w:val="0"/>
                <w:color w:val="1C2430"/>
                <w:sz w:val="22"/>
              </w:rPr>
              <w:t>عند تدقيق وظيفة الموارد البشرية، لا تكتفِ بفحص "هل عُقدت دورات تدريبية؟" — اسأل: هل الدورات مبنية على فجوة كفاءات محددة مسبقًا ومرتبطة بأهداف استراتيجية موثقة، أم أنها مجرد نشاط سنوي يتكرر بلا رابط واضح؟</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عند تدقيق الموارد البشرية، ابدأ دومًا بسؤال: هل هناك خطة قوى عاملة موثقة مرتبطة صراحة باستراتيجية المؤسسة؟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لا تقيّموا فعالية التدريب بعدد الدورات المنعقدة، بل بارتباطها الموثّق بفجوة كفاءات محددة مسبقًا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المناصب الحرجة (Critical Roles) تحتاج خطة إحلال موثقة مسبقًا، لا رد فعل بعد المغادرة</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مخاطر أخذ العينات  </w:t>
            </w:r>
            <w:r>
              <w:rPr>
                <w:rFonts w:ascii="Carlito" w:hAnsi="Carlito" w:cs="Amiri" w:eastAsia="Amiri"/>
                <w:b w:val="0"/>
                <w:i/>
                <w:color w:val="E8D9A0"/>
                <w:sz w:val="22"/>
              </w:rPr>
              <w:t>(Sampling Risk)</w:t>
            </w:r>
          </w:p>
          <w:p>
            <w:pPr>
              <w:bidi/>
              <w:spacing w:before="120" w:line="312" w:lineRule="auto"/>
            </w:pPr>
            <w:r>
              <w:rPr>
                <w:rFonts w:ascii="Carlito" w:hAnsi="Carlito" w:cs="Amiri" w:eastAsia="Amiri"/>
                <w:b w:val="0"/>
                <w:i w:val="0"/>
                <w:color w:val="FFFFFF"/>
                <w:sz w:val="21"/>
              </w:rPr>
              <w:t>احتمال أن يختلف استنتاج المدقق المبني على فحص عيّنة محدودة عن الاستنتاج الذي كان سيصل إليه لو فحص كامل المجتمع الإحصائي المعني بالكامل.</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حجم العيّنة الكبير وحده لا يضمن دقة النتيجة إطلاقًا؛ طريقة اختيارها العشوائي والممثّل فعليًا لخصائص المجتمع أهم بكثير من حجمها الرقمي المطلق.</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[توقعات | عالٍ]</w:t>
            </w:r>
          </w:p>
          <w:p>
            <w:pPr>
              <w:spacing w:before="40"/>
              <w:jc w:val="right"/>
              <w:bidi/>
            </w:pPr>
            <w:r>
              <w:rPr>
                <w:rFonts w:ascii="Carlito" w:hAnsi="Carlito" w:cs="Amiri" w:eastAsia="Amiri"/>
                <w:b w:val="0"/>
                <w:i/>
                <w:color w:val="E8D9A0"/>
                <w:sz w:val="17"/>
              </w:rPr>
              <w:t>🎓 المهارة المكتسبة: تحليل التوقعات المستقبلية</w:t>
            </w:r>
          </w:p>
        </w:tc>
      </w:tr>
    </w:tbl>
    <w:p>
      <w:pPr>
        <w:bidi/>
        <w:spacing w:before="80"/>
      </w:pPr>
      <w:r>
        <w:rPr>
          <w:rFonts w:ascii="Carlito" w:hAnsi="Carlito" w:cs="Amiri" w:eastAsia="Amiri"/>
          <w:b/>
          <w:i w:val="0"/>
          <w:color w:val="13294B"/>
          <w:sz w:val="24"/>
        </w:rPr>
        <w:t>The Road Ahead for Internal Audit: 5 Bold Predictions for the 2020s</w:t>
      </w:r>
    </w:p>
    <w:p>
      <w:pPr>
        <w:bidi/>
        <w:spacing w:line="312" w:lineRule="auto" w:after="120"/>
      </w:pPr>
      <w:r>
        <w:rPr>
          <w:rFonts w:ascii="Carlito" w:hAnsi="Carlito" w:cs="Amiri" w:eastAsia="Amiri"/>
          <w:b w:val="0"/>
          <w:i w:val="0"/>
          <w:color w:val="1C2430"/>
          <w:sz w:val="22"/>
        </w:rPr>
        <w:t>تتضمن هذه التوقعات تطورات كبيرة في التدقيق الداخلي مثل التركيز على أدوار الاستشارات الاستراتيجية وتعزيز المهارات التكنولوجية.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تساعد هذه التوقعات المتدقيقين على التخطيط لمستقبل مهنتهم.</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قراءة التقرير وتحليل التوقعات المقدمة.</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The IIA</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جودة بيانات الأداء المستخدمة في التقارير الإدارية العليا</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الأرقام التي تصل لصانع القرار موثوقة ودقيقة فعليًا، لا مجرد "تبدو منظمة" في عرض تقديمي احترافي الشكل.</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أين تأتي الأرقام المعروضة فعليًا؟ هل يمكن تتبعها لمصدرها الأصلي (Traceability) بخطوات واضحة؟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مطابقة دورية بين الأرقام في التقرير الإداري والأرقام في الأنظمة المصدرية الأصلية؟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يُدخل البيانات يدويًا في أي مرحلة من مراحل إعداد التقرير، وما احتمال الخطأ البشري في تلك النقطة تحديدًا؟</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حدثت من قبل حالة تعديل رقم بعد عرضه على الإدارة العليا لاكتشاف خطأ لاحقًا؟ كم مرة؟</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تقارير تعتمد على نسخ ولصق يدوي متكرر من مصادر متعددة دون أداة تكامل آلية، أو أرقام "تُصحَّح" بشكل متكرر بعد عرضها الأولي دون تحقيق جذري لسبب الخطأ المتكرر.</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فعالية خطط استمرارية الأعمال والتعافي من الكوارث (BCP/DR)</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خطط استمرارية الأعمال ليست مجرد وثيقة مُعدَّة للامتثال، بل قابلة للتنفيذ الفعلي عند وقوع أزمة حقيقية.</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متى آخر مرة اختُبِرَت خطة الاستمرارية فعليًا بتمرين محاكاة كامل، لا مراجعة وثائقية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قائمة جهات الاتصال الطارئة والمسؤوليات في الخطة محدَّثة فعلاً، أم تحمل أسماء موظفين غادروا المؤسسة منذ فترة؟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ما زمن الاستعادة المستهدف (RTO) لكل نظام حرج، وهل اختير هذا الزمن بناءً على تحليل أثر فعلي أم بشكل تقديري عام؟</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الخطة تغطي سيناريوهات متعددة (كارثة طبيعية، هجوم سيبراني، غياب مفاجئ لعدد كبير من الموظفين)، أم سيناريو واحد فقط؟</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خطة استمرارية لم تُحدَّث أو تُختبَر منذ أكثر من سنتين، أو تعتمد بالكامل على شخص واحد بعينه دون بديل موثق لأي دور حرج فيها.</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مبدأ الهرم المقلوب: يبدأ خبراء الاستشارات كل عرض أو تقرير بالخلاصة، ثم يوردون الحجج الداعمة، ثم التفاصيل. مثال: بدل أن تبدأ فقرة بـ"راجعنا 40 معاملة ووجدنا كذا وكذا..."، ابدأ بـ"نظام الموافقات على المصروفات لا يعمل كما ينبغي — 30% من العينة تجاوزت الحد المصرَّح به"، ثم اشرح كيف توصلت لهذا.</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في تقريرك القادم، اكتب الاستنتاج النهائي أولاً كفقرة مستقلة قبل أي شيء آخر، ثم اسأل: ما الحجج الثلاث التي تدعمه؟ رتّبها بعده مباشرة بترتيب الأهمية.</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تقنية بومودورو: 25 دقيقة تركيز متواصل بلا أي مقاطعة (هاتف، بريد) تليها 5 دقائق استراحة كاملة. أداة بسيطة لكنها فعالة لإدارة التركيز خلال مواسم التدقيق المكثفة، بدل محاولة العمل المتواصل لساعات طويلة تنتهي عادة بتراجع تدريجي في الجودة دون أن تلاحظه.</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3">
        <w:r>
          <w:rPr>
            <w:rFonts w:ascii="Carlito" w:hAnsi="Carlito" w:cs="Amiri" w:eastAsia="Amiri"/>
            <w:sz w:val="21"/>
            <w:b/>
            <w:u w:val="single"/>
            <w:color w:val="C9A227"/>
          </w:rPr>
          <w:t>PwC Middle East Media Centre</w:t>
        </w:r>
      </w:hyperlink>
      <w:r>
        <w:rPr>
          <w:rFonts w:ascii="Carlito" w:hAnsi="Carlito" w:cs="Amiri" w:eastAsia="Amiri"/>
          <w:b w:val="0"/>
          <w:i w:val="0"/>
          <w:color w:val="5B6472"/>
          <w:sz w:val="19"/>
        </w:rPr>
        <w:t xml:space="preserve">  (PwC)</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Leading Change — John P. Kotter</w:t>
      </w:r>
    </w:p>
    <w:p>
      <w:pPr>
        <w:bidi/>
      </w:pPr>
      <w:r>
        <w:rPr>
          <w:rFonts w:ascii="Carlito" w:hAnsi="Carlito" w:cs="Amiri" w:eastAsia="Amiri"/>
          <w:b w:val="0"/>
          <w:i/>
          <w:color w:val="5B6472"/>
          <w:sz w:val="21"/>
        </w:rPr>
        <w:t>المرجع الأساسي لنموذج الخطوات الثماني لإدارة التغيير المؤسسي (انظر ومضة هذا الأسبوع أو أسبوع سابق لتفاصيل النموذج).</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عند تقييم أي مبادرة تغيير جارية، حددوا في أي خطوة من الخطوات الثماني هي فعليًا الآن — كثير من المبادرات المتعثرة عالقة عند الخطوة الأولى دون أن تدرك ذلك.</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heiia.org/en/internal-audit-foundation/latest-research-and-products/ia-2035-project" TargetMode="External"/><Relationship Id="rId11" Type="http://schemas.openxmlformats.org/officeDocument/2006/relationships/hyperlink" Target="https://www.ifac.org/publications/exposure-draft-ed-80-improvements-ipsas-2021" TargetMode="External"/><Relationship Id="rId12" Type="http://schemas.openxmlformats.org/officeDocument/2006/relationships/hyperlink" Target="https://internalauditor.theiia.org/en/voices/2019/the-road-ahead-for-internal-audit-5-bold-predictions-for-the-2020s" TargetMode="External"/><Relationship Id="rId13" Type="http://schemas.openxmlformats.org/officeDocument/2006/relationships/hyperlink" Target="https://www.pwc.com/m1/en/media-centre/articles/global-consumer-insights-survey-pulse-6-ksa-perspecti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