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Weekly Audit Intelligence Report</w:t>
      </w:r>
    </w:p>
    <w:p>
      <w:r>
        <w:t># Executive Summary</w:t>
      </w:r>
    </w:p>
    <w:p>
      <w:r>
        <w:t>This week's analysis highlights three critical developments shaping the global governance, risk, and audit landscape:</w:t>
      </w:r>
    </w:p>
    <w:p>
      <w:r>
        <w:t>1. **Transition to the Global Internal Audit Standards:** Organizations are rapidly moving from basic awareness to active implementation of the new standards, with a heightened focus on aligning Quality Assurance and Improvement Programs (QAIP) with the updated board-level oversight requirements.</w:t>
        <w:br/>
        <w:t>2. **Rigorous Controls over Sustainability Reporting:** Standard-setters, including COSO and IFAC, are emphasizing the urgent need to establish mature Internal Control over Sustainability Reporting (ICSR) frameworks to meet upcoming mandatory assurance deadlines.</w:t>
        <w:br/>
        <w:t>3. **Public Sector and AI Governance Integration:** International bodies like the OECD and INTOSAI are driving reforms that integrate artificial intelligence governance and digital public infrastructure (DPI) security directly into the mandate of supreme audit institutions and public sector internal auditors.</w:t>
      </w:r>
    </w:p>
    <w:p>
      <w:r>
        <w:t># Internal Audit</w:t>
      </w:r>
    </w:p>
    <w:p>
      <w:r>
        <w:t>يركز النشاط المهني حالياً على التقييم الفعلي لتطبيق المعايير العالمية الجديدة للتدقيق الداخلي الصادرة عن معهد المدققين الداخليين (IIA). تشير التقارير الأخيرة إلى تحول التركيز من مجرد "الامتثال الشكلي" إلى "الامتثال القائم على الأداء والمخرجات". هناك تركيز متزايد على برامج ضمان وتحسين الجودة (QAIP) لضمان توافق وظائف التدقيق مع المتطلبات الجديدة، لا سيما فيما يتعلق بالعلاقة بين الرئيس التنفيذي للتدقيق ولجنة التدقيق، وتعزيز التفكير الاستراتيجي في تقييم المخاطر الناشئة وتلبية توقعات الأطراف ذات العلاقة.</w:t>
      </w:r>
    </w:p>
    <w:p>
      <w:r>
        <w:t># Internal Controls</w:t>
      </w:r>
    </w:p>
    <w:p>
      <w:r>
        <w:t>تشهد بيئة الرقابة الداخلية تطوراً متسارعاً مع زيادة اعتماد إطار COSO للرقابة الداخلية على تقارير الاستدامة (ICSR). تركز التوجيهات الأخيرة على سد الفجوة بين البيانات المالية وغير المالية، حيث يُطلب من مسؤولي الرقابة تصميم ضوابط رقابية صارمة تضمن دقة وموثوقية بيانات الحوكمة البيئية والاجتماعية والمؤسسية (ESG). يتطلب ذلك دمج هذه الضوابط ضمن الهيكل الرقابي العام للمؤسسة لضمان اتساق البيانات وتجنب مخاطر "الغسيل الأخضر" والامتثال لمتطلبات الإفصاح التنظيمية المتزايدة.</w:t>
      </w:r>
    </w:p>
    <w:p>
      <w:r>
        <w:t># Governance</w:t>
      </w:r>
    </w:p>
    <w:p>
      <w:r>
        <w:t>تسلط التقارير الصادرة عن منظمة التعاون الاقتصادي والتنمية (OECD) والاتحاد الدولي للمحاسبين (IFAC) الضوء على ضرورة تعزيز دور مجالس الإدارة في الإشراف على المخاطر النظامية، مثل التغير المناخي والأمن السيبراني والاضطرابات الجيوسياسية. يتم التأكيد حالياً على أهمية الشفافية المؤسسية، وتحديث ممارسات الحوكمة لتشمل أطر عمل واضحة للمسؤولية الأخلاقية ومكافحة الفساد، مع ضرورة مواءمة استراتيجية الأعمال مع الأهداف طويلة الأجل لأصحاب المصلحة وضمان التنوع والخبرة الفنية داخل المجالس.</w:t>
      </w:r>
    </w:p>
    <w:p>
      <w:r>
        <w:t># Risk Management</w:t>
      </w:r>
    </w:p>
    <w:p>
      <w:r>
        <w:t>في ظل الأزمات المتعددة والمتداخلة التي تواجهها المؤسسات عالمياً، يركز تطوير إدارة المخاطر المؤسسية (ERM) على بناء "المرونة التنظيمية". تدعو التوجيهات الحديثة إلى الانتقال من التقييمات الدورية التقليدية للمخاطر إلى المراقبة المستمرة واستخدام تخطيط السيناريوهات الديناميكية. يجب على المؤسسات دمج حدود تحمل المخاطر (Risk Appetite) بشكل مباشر في عمليات اتخاذ القرار اليومية لضمان الاستجابة السريعة للمتغيرات الاقتصادية والجيوسياسية المتسارعة.</w:t>
      </w:r>
    </w:p>
    <w:p>
      <w:r>
        <w:t># Public Sector Reform</w:t>
      </w:r>
    </w:p>
    <w:p>
      <w:r>
        <w:t>تقود المنظمة الدولية للأجهزة العليا للرقابة المالية والمحاسبة (INTOSAI) بالتعاون مع البنك الدولي مبادرات واسعة لإصلاح القطاع العام وتحديث الأجهزة الرقابية. ينصب التركيز على تعزيز الرقابة على البنية التحتية الرقمية العامة (DPI) وضمان كفاءة الإنفاق الحكومي. تشمل الإصلاحات تطوير معايير تدقيق الأداء لتقييم مدى نجاح التحول الرقمي في تقديم الخدمات الحكومية بعدالة وشفافية، ومكافحة الهدر المالي من خلال أدوات التدقيق المستمر وتحليل البيانات الضخمة.</w:t>
      </w:r>
    </w:p>
    <w:p>
      <w:r>
        <w:t># Artificial Intelligence</w:t>
      </w:r>
    </w:p>
    <w:p>
      <w:r>
        <w:t>يمثل الذكاء الاصطناعي تحدياً وفرصة في آن واحد للمدققين. تركز الهيئات المهنية على وضع أطر عمل لتدقيق أنظمة الذكاء الاصطناعي التوليدي، مع التركيز على حوكمة البيانات، والتحيز الخوارزمي، والامتثال للتشريعات الصارمة مثل قانون الذكاء الاصطناعي الأوروبي. من جهة أخرى، يتم حث إدارات التدقيق الداخلي على تبني أدوات الذكاء الاصطناعي في عملياتها الخاصة، مثل التحليلات التنبؤية والاختبار الآلي للضوابط الرقابية لزيادة كفاءة وتغطية التدقيق وتحديد الأنماط الشاذة بشكل استباقي.</w:t>
      </w:r>
    </w:p>
    <w:p>
      <w:r>
        <w:t># Why It Matters</w:t>
      </w:r>
    </w:p>
    <w:p>
      <w:r>
        <w:t>تفرض هذه التطورات واقعاً جديداً يتطلب من قادة التدقيق الداخلي إعادة صياغة استراتيجياتهم بشكل عاجل. إن الانتقال إلى المعايير العالمية الجديدة يتطلب استثماراً فورياً في بناء قدرات الفريق وتحديث منهجيات العمل لضمان القيمة المضافة. علاوة على ذلك، فإن دمج ضوابط الاستدامة وحوكمة الذكاء الاصطناعي في خطط التدقيق لم يعد خياراً ثانوياً، بل هو ركيزة أساسية لحماية سمعة المؤسسة وضمان استمراريتها. يتعين على المدققين التحول إلى مستشارين موثوقين يقدمون استشرافاً للمستقبل بدلاً من مجرد تقييم الأحداث التاريخية.</w:t>
      </w:r>
    </w:p>
    <w:p>
      <w:r>
        <w:t># Recommended Reading</w:t>
      </w:r>
    </w:p>
    <w:p>
      <w:r>
        <w:t>1. **دليل تطبيق المعايير العالمية للتدقيق الداخلي** - معهد المدققين الداخليين الدولي (IIA).</w:t>
        <w:br/>
        <w:t>2. **إرشادات الرقابة الداخلية على تقارير الاستدامة (ICSR)** - لجنة المؤسسات الراعية لتريدواي (COSO).</w:t>
        <w:br/>
        <w:t>3. **تقرير حوكمة البنية التحتية الرقمية العامة والنزاهة** - منظمة التعاون الاقتصادي والتنمية (OECD).</w:t>
        <w:br/>
        <w:t>4. **معايير تدقيق الأداء في العصر الرقمي للأجهزة العليا للرقابة** - المنظمة الدولية للأجهزة العليا للرقابة المالية والمحاسبة (INTOSAI).</w:t>
        <w:br/>
        <w:t>5. **دراسة مستقبل التدقيق الداخلي المدعوم بالذكاء الاصطناعي وحوكمة الخوارزميات** - الاتحاد الدولي للمحاسبين (IFAC).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