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Arial" w:cs="Arial" w:eastAsia="Arial" w:hAnsi="Arial"/>
          <w:b/>
          <w:bCs/>
          <w:color w:val="243C65"/>
          <w:spacing w:val="80"/>
          <w:sz w:val="80"/>
          <w:szCs w:val="80"/>
        </w:rPr>
        <w:t xml:space="preserve">TECHTIFAI</w:t>
      </w:r>
    </w:p>
    <w:p>
      <w:pPr>
        <w:pBdr>
          <w:bottom w:val="single" w:color="E33722" w:sz="12" w:space="8"/>
        </w:pBdr>
        <w:spacing w:after="120"/>
        <w:jc w:val="center"/>
      </w:pPr>
      <w:r>
        <w:t xml:space="preserve"/>
      </w:r>
    </w:p>
    <w:p>
      <w:pPr>
        <w:spacing w:after="200" w:before="400"/>
        <w:jc w:val="center"/>
      </w:pPr>
      <w:r>
        <w:rPr>
          <w:rFonts w:ascii="Arial" w:cs="Arial" w:eastAsia="Arial" w:hAnsi="Arial"/>
          <w:b/>
          <w:bCs/>
          <w:color w:val="243C65"/>
          <w:sz w:val="48"/>
          <w:szCs w:val="48"/>
        </w:rPr>
        <w:t xml:space="preserve">Website Content Brief</w:t>
      </w:r>
    </w:p>
    <w:p>
      <w:pPr>
        <w:spacing w:after="800"/>
        <w:jc w:val="center"/>
      </w:pPr>
      <w:r>
        <w:rPr>
          <w:rFonts w:ascii="Arial" w:cs="Arial" w:eastAsia="Arial" w:hAnsi="Arial"/>
          <w:i/>
          <w:iCs/>
          <w:color w:val="156082"/>
          <w:sz w:val="28"/>
          <w:szCs w:val="28"/>
        </w:rPr>
        <w:t xml:space="preserve">One Partner for Total Transformation</w:t>
      </w:r>
    </w:p>
    <w:p>
      <w:pPr>
        <w:spacing w:after="120" w:before="200"/>
        <w:jc w:val="center"/>
      </w:pPr>
      <w:r>
        <w:rPr>
          <w:rFonts w:ascii="Arial" w:cs="Arial" w:eastAsia="Arial" w:hAnsi="Arial"/>
          <w:b/>
          <w:bCs/>
          <w:color w:val="E33722"/>
          <w:spacing w:val="40"/>
          <w:sz w:val="18"/>
          <w:szCs w:val="18"/>
        </w:rPr>
        <w:t xml:space="preserve">PREPARED FOR</w:t>
      </w:r>
    </w:p>
    <w:p>
      <w:pPr>
        <w:spacing w:after="400"/>
        <w:jc w:val="center"/>
      </w:pPr>
      <w:r>
        <w:rPr>
          <w:rFonts w:ascii="Arial" w:cs="Arial" w:eastAsia="Arial" w:hAnsi="Arial"/>
          <w:color w:val="243C65"/>
          <w:sz w:val="24"/>
          <w:szCs w:val="24"/>
        </w:rPr>
        <w:t xml:space="preserve">Website Design &amp; Development Team</w:t>
      </w:r>
    </w:p>
    <w:p>
      <w:pPr>
        <w:spacing w:after="120" w:before="200"/>
        <w:jc w:val="center"/>
      </w:pPr>
      <w:r>
        <w:rPr>
          <w:rFonts w:ascii="Arial" w:cs="Arial" w:eastAsia="Arial" w:hAnsi="Arial"/>
          <w:b/>
          <w:bCs/>
          <w:color w:val="E33722"/>
          <w:spacing w:val="40"/>
          <w:sz w:val="18"/>
          <w:szCs w:val="18"/>
        </w:rPr>
        <w:t xml:space="preserve">VERSION</w:t>
      </w:r>
    </w:p>
    <w:p>
      <w:pPr>
        <w:spacing w:after="200"/>
        <w:jc w:val="center"/>
      </w:pPr>
      <w:r>
        <w:rPr>
          <w:rFonts w:ascii="Arial" w:cs="Arial" w:eastAsia="Arial" w:hAnsi="Arial"/>
          <w:color w:val="243C65"/>
          <w:sz w:val="22"/>
          <w:szCs w:val="22"/>
        </w:rPr>
        <w:t xml:space="preserve">1.0  ·  April 2026</w:t>
      </w:r>
    </w:p>
    <w:p>
      <w:pPr>
        <w:pStyle w:val="Heading1"/>
        <w:pageBreakBefore/>
        <w:spacing w:after="240" w:before="200"/>
      </w:pPr>
      <w:r>
        <w:rPr>
          <w:rFonts w:ascii="Arial" w:cs="Arial" w:eastAsia="Arial" w:hAnsi="Arial"/>
          <w:b/>
          <w:bCs/>
          <w:color w:val="243C65"/>
          <w:sz w:val="40"/>
          <w:szCs w:val="40"/>
        </w:rPr>
        <w:t xml:space="preserve">How to Use This Document</w:t>
      </w:r>
    </w:p>
    <w:p>
      <w:pPr>
        <w:spacing w:after="120"/>
      </w:pPr>
      <w:r>
        <w:rPr>
          <w:rFonts w:ascii="Arial" w:cs="Arial" w:eastAsia="Arial" w:hAnsi="Arial"/>
          <w:color w:val="1A1A1A"/>
          <w:sz w:val="22"/>
          <w:szCs w:val="22"/>
        </w:rPr>
        <w:t xml:space="preserve">This brief contains all approved copy and structure for the Techtifai website. It is organized page-by-page so the design and development team can work directly from each section without needing additional approvals on wording.</w:t>
      </w:r>
    </w:p>
    <w:p>
      <w:pPr>
        <w:pStyle w:val="Heading2"/>
        <w:spacing w:after="140" w:before="280"/>
      </w:pPr>
      <w:r>
        <w:rPr>
          <w:rFonts w:ascii="Arial" w:cs="Arial" w:eastAsia="Arial" w:hAnsi="Arial"/>
          <w:b/>
          <w:bCs/>
          <w:color w:val="243C65"/>
          <w:sz w:val="28"/>
          <w:szCs w:val="28"/>
        </w:rPr>
        <w:t xml:space="preserve">Document Structure</w:t>
      </w:r>
    </w:p>
    <w:p>
      <w:pPr>
        <w:pStyle w:val="ListParagraph"/>
        <w:numPr>
          <w:ilvl w:val="0"/>
          <w:numId w:val="2"/>
        </w:numPr>
        <w:spacing w:after="80"/>
      </w:pPr>
      <w:r>
        <w:rPr>
          <w:rFonts w:ascii="Arial" w:cs="Arial" w:eastAsia="Arial" w:hAnsi="Arial"/>
          <w:color w:val="1A1A1A"/>
          <w:sz w:val="22"/>
          <w:szCs w:val="22"/>
        </w:rPr>
        <w:t xml:space="preserve">Each page has its own section with the page title, hero copy, body sections, and any relevant calls-to-action.</w:t>
      </w:r>
    </w:p>
    <w:p>
      <w:pPr>
        <w:pStyle w:val="ListParagraph"/>
        <w:numPr>
          <w:ilvl w:val="0"/>
          <w:numId w:val="2"/>
        </w:numPr>
        <w:spacing w:after="80"/>
      </w:pPr>
      <w:r>
        <w:rPr>
          <w:rFonts w:ascii="Arial" w:cs="Arial" w:eastAsia="Arial" w:hAnsi="Arial"/>
          <w:color w:val="1A1A1A"/>
          <w:sz w:val="22"/>
          <w:szCs w:val="22"/>
        </w:rPr>
        <w:t xml:space="preserve">SEO meta information (page title and description) is provided at the top of each page section.</w:t>
      </w:r>
    </w:p>
    <w:p>
      <w:pPr>
        <w:pStyle w:val="ListParagraph"/>
        <w:numPr>
          <w:ilvl w:val="0"/>
          <w:numId w:val="2"/>
        </w:numPr>
        <w:spacing w:after="80"/>
      </w:pPr>
      <w:r>
        <w:rPr>
          <w:rFonts w:ascii="Arial" w:cs="Arial" w:eastAsia="Arial" w:hAnsi="Arial"/>
          <w:color w:val="1A1A1A"/>
          <w:sz w:val="22"/>
          <w:szCs w:val="22"/>
        </w:rPr>
        <w:t xml:space="preserve">"Note for design/dev" callouts indicate suggested layouts, imagery, or interaction patterns.</w:t>
      </w:r>
    </w:p>
    <w:p>
      <w:pPr>
        <w:pStyle w:val="ListParagraph"/>
        <w:numPr>
          <w:ilvl w:val="0"/>
          <w:numId w:val="2"/>
        </w:numPr>
        <w:spacing w:after="80"/>
      </w:pPr>
      <w:r>
        <w:rPr>
          <w:rFonts w:ascii="Arial" w:cs="Arial" w:eastAsia="Arial" w:hAnsi="Arial"/>
          <w:color w:val="1A1A1A"/>
          <w:sz w:val="22"/>
          <w:szCs w:val="22"/>
        </w:rPr>
        <w:t xml:space="preserve">All wording is approved and should be used verbatim — please flag any required changes back before editing.</w:t>
      </w:r>
    </w:p>
    <w:p>
      <w:pPr>
        <w:pStyle w:val="Heading2"/>
        <w:spacing w:after="140" w:before="280"/>
      </w:pPr>
      <w:r>
        <w:rPr>
          <w:rFonts w:ascii="Arial" w:cs="Arial" w:eastAsia="Arial" w:hAnsi="Arial"/>
          <w:b/>
          <w:bCs/>
          <w:color w:val="243C65"/>
          <w:sz w:val="28"/>
          <w:szCs w:val="28"/>
        </w:rPr>
        <w:t xml:space="preserve">Brand System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12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c>
          <w:tcPr>
            <w:tcW w:type="dxa" w:w="312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Primary Color (Navy)</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#243C65</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Headings, primary buttons, dark sections</w:t>
            </w:r>
          </w:p>
        </w:tc>
      </w:tr>
      <w:tr>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Accent Color (Red)</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#E33722</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Highlights, accent lines, hover states</w:t>
            </w:r>
          </w:p>
        </w:tc>
      </w:tr>
      <w:tr>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Secondary (Light Blue)</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#B2DFF5</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Backgrounds, supporting graphics</w:t>
            </w:r>
          </w:p>
        </w:tc>
      </w:tr>
      <w:tr>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Mid Blue</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#156082</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Subheadings, links, secondary buttons</w:t>
            </w:r>
          </w:p>
        </w:tc>
      </w:tr>
      <w:tr>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Heading Font</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Aptos Display</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Fallback: Inter, system-ui</w:t>
            </w:r>
          </w:p>
        </w:tc>
      </w:tr>
      <w:tr>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Body Font</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Aptos</w:t>
            </w:r>
          </w:p>
        </w:tc>
        <w:tc>
          <w:tcPr>
            <w:tcW w:type="dxa" w:w="312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Fallback: Inter, system-ui</w:t>
            </w:r>
          </w:p>
        </w:tc>
      </w:tr>
    </w:tbl>
    <w:p>
      <w:pPr>
        <w:pStyle w:val="Heading2"/>
        <w:spacing w:after="140" w:before="280"/>
      </w:pPr>
      <w:r>
        <w:rPr>
          <w:rFonts w:ascii="Arial" w:cs="Arial" w:eastAsia="Arial" w:hAnsi="Arial"/>
          <w:b/>
          <w:bCs/>
          <w:color w:val="243C65"/>
          <w:sz w:val="28"/>
          <w:szCs w:val="28"/>
        </w:rPr>
        <w:t xml:space="preserve">Site Map (10 Pages)</w:t>
      </w:r>
    </w:p>
    <w:p>
      <w:pPr>
        <w:pStyle w:val="ListParagraph"/>
        <w:numPr>
          <w:ilvl w:val="0"/>
          <w:numId w:val="2"/>
        </w:numPr>
        <w:spacing w:after="80"/>
      </w:pPr>
      <w:r>
        <w:rPr>
          <w:rFonts w:ascii="Arial" w:cs="Arial" w:eastAsia="Arial" w:hAnsi="Arial"/>
          <w:color w:val="1A1A1A"/>
          <w:sz w:val="22"/>
          <w:szCs w:val="22"/>
        </w:rPr>
        <w:t xml:space="preserve">01 — Home</w:t>
      </w:r>
    </w:p>
    <w:p>
      <w:pPr>
        <w:pStyle w:val="ListParagraph"/>
        <w:numPr>
          <w:ilvl w:val="0"/>
          <w:numId w:val="2"/>
        </w:numPr>
        <w:spacing w:after="80"/>
      </w:pPr>
      <w:r>
        <w:rPr>
          <w:rFonts w:ascii="Arial" w:cs="Arial" w:eastAsia="Arial" w:hAnsi="Arial"/>
          <w:color w:val="1A1A1A"/>
          <w:sz w:val="22"/>
          <w:szCs w:val="22"/>
        </w:rPr>
        <w:t xml:space="preserve">02 — About</w:t>
      </w:r>
    </w:p>
    <w:p>
      <w:pPr>
        <w:pStyle w:val="ListParagraph"/>
        <w:numPr>
          <w:ilvl w:val="0"/>
          <w:numId w:val="2"/>
        </w:numPr>
        <w:spacing w:after="80"/>
      </w:pPr>
      <w:r>
        <w:rPr>
          <w:rFonts w:ascii="Arial" w:cs="Arial" w:eastAsia="Arial" w:hAnsi="Arial"/>
          <w:color w:val="1A1A1A"/>
          <w:sz w:val="22"/>
          <w:szCs w:val="22"/>
        </w:rPr>
        <w:t xml:space="preserve">03 — Services</w:t>
      </w:r>
    </w:p>
    <w:p>
      <w:pPr>
        <w:pStyle w:val="ListParagraph"/>
        <w:numPr>
          <w:ilvl w:val="0"/>
          <w:numId w:val="2"/>
        </w:numPr>
        <w:spacing w:after="80"/>
      </w:pPr>
      <w:r>
        <w:rPr>
          <w:rFonts w:ascii="Arial" w:cs="Arial" w:eastAsia="Arial" w:hAnsi="Arial"/>
          <w:color w:val="1A1A1A"/>
          <w:sz w:val="22"/>
          <w:szCs w:val="22"/>
        </w:rPr>
        <w:t xml:space="preserve">04 — Capabilities</w:t>
      </w:r>
    </w:p>
    <w:p>
      <w:pPr>
        <w:pStyle w:val="ListParagraph"/>
        <w:numPr>
          <w:ilvl w:val="0"/>
          <w:numId w:val="2"/>
        </w:numPr>
        <w:spacing w:after="80"/>
      </w:pPr>
      <w:r>
        <w:rPr>
          <w:rFonts w:ascii="Arial" w:cs="Arial" w:eastAsia="Arial" w:hAnsi="Arial"/>
          <w:color w:val="1A1A1A"/>
          <w:sz w:val="22"/>
          <w:szCs w:val="22"/>
        </w:rPr>
        <w:t xml:space="preserve">05 — Industries</w:t>
      </w:r>
    </w:p>
    <w:p>
      <w:pPr>
        <w:pStyle w:val="ListParagraph"/>
        <w:numPr>
          <w:ilvl w:val="0"/>
          <w:numId w:val="2"/>
        </w:numPr>
        <w:spacing w:after="80"/>
      </w:pPr>
      <w:r>
        <w:rPr>
          <w:rFonts w:ascii="Arial" w:cs="Arial" w:eastAsia="Arial" w:hAnsi="Arial"/>
          <w:color w:val="1A1A1A"/>
          <w:sz w:val="22"/>
          <w:szCs w:val="22"/>
        </w:rPr>
        <w:t xml:space="preserve">06 — Process</w:t>
      </w:r>
    </w:p>
    <w:p>
      <w:pPr>
        <w:pStyle w:val="ListParagraph"/>
        <w:numPr>
          <w:ilvl w:val="0"/>
          <w:numId w:val="2"/>
        </w:numPr>
        <w:spacing w:after="80"/>
      </w:pPr>
      <w:r>
        <w:rPr>
          <w:rFonts w:ascii="Arial" w:cs="Arial" w:eastAsia="Arial" w:hAnsi="Arial"/>
          <w:color w:val="1A1A1A"/>
          <w:sz w:val="22"/>
          <w:szCs w:val="22"/>
        </w:rPr>
        <w:t xml:space="preserve">07 — Why Us</w:t>
      </w:r>
    </w:p>
    <w:p>
      <w:pPr>
        <w:pStyle w:val="ListParagraph"/>
        <w:numPr>
          <w:ilvl w:val="0"/>
          <w:numId w:val="2"/>
        </w:numPr>
        <w:spacing w:after="80"/>
      </w:pPr>
      <w:r>
        <w:rPr>
          <w:rFonts w:ascii="Arial" w:cs="Arial" w:eastAsia="Arial" w:hAnsi="Arial"/>
          <w:color w:val="1A1A1A"/>
          <w:sz w:val="22"/>
          <w:szCs w:val="22"/>
        </w:rPr>
        <w:t xml:space="preserve">08 — Case Studies</w:t>
      </w:r>
    </w:p>
    <w:p>
      <w:pPr>
        <w:pStyle w:val="ListParagraph"/>
        <w:numPr>
          <w:ilvl w:val="0"/>
          <w:numId w:val="2"/>
        </w:numPr>
        <w:spacing w:after="80"/>
      </w:pPr>
      <w:r>
        <w:rPr>
          <w:rFonts w:ascii="Arial" w:cs="Arial" w:eastAsia="Arial" w:hAnsi="Arial"/>
          <w:color w:val="1A1A1A"/>
          <w:sz w:val="22"/>
          <w:szCs w:val="22"/>
        </w:rPr>
        <w:t xml:space="preserve">09 — Team</w:t>
      </w:r>
    </w:p>
    <w:p>
      <w:pPr>
        <w:pStyle w:val="ListParagraph"/>
        <w:numPr>
          <w:ilvl w:val="0"/>
          <w:numId w:val="2"/>
        </w:numPr>
        <w:spacing w:after="80"/>
      </w:pPr>
      <w:r>
        <w:rPr>
          <w:rFonts w:ascii="Arial" w:cs="Arial" w:eastAsia="Arial" w:hAnsi="Arial"/>
          <w:color w:val="1A1A1A"/>
          <w:sz w:val="22"/>
          <w:szCs w:val="22"/>
        </w:rPr>
        <w:t xml:space="preserve">10 — Contact</w:t>
      </w:r>
    </w:p>
    <w:p>
      <w:pPr>
        <w:pStyle w:val="Heading2"/>
        <w:spacing w:after="140" w:before="280"/>
      </w:pPr>
      <w:r>
        <w:rPr>
          <w:rFonts w:ascii="Arial" w:cs="Arial" w:eastAsia="Arial" w:hAnsi="Arial"/>
          <w:b/>
          <w:bCs/>
          <w:color w:val="243C65"/>
          <w:sz w:val="28"/>
          <w:szCs w:val="28"/>
        </w:rPr>
        <w:t xml:space="preserve">Global Elements</w:t>
      </w:r>
    </w:p>
    <w:p>
      <w:pPr>
        <w:pStyle w:val="Heading3"/>
        <w:spacing w:after="100" w:before="200"/>
      </w:pPr>
      <w:r>
        <w:rPr>
          <w:rFonts w:ascii="Arial" w:cs="Arial" w:eastAsia="Arial" w:hAnsi="Arial"/>
          <w:b/>
          <w:bCs/>
          <w:color w:val="156082"/>
          <w:sz w:val="24"/>
          <w:szCs w:val="24"/>
        </w:rPr>
        <w:t xml:space="preserve">Primary Navigation</w:t>
      </w:r>
    </w:p>
    <w:p>
      <w:pPr>
        <w:spacing w:after="120"/>
      </w:pPr>
      <w:r>
        <w:rPr>
          <w:rFonts w:ascii="Arial" w:cs="Arial" w:eastAsia="Arial" w:hAnsi="Arial"/>
          <w:color w:val="1A1A1A"/>
          <w:sz w:val="22"/>
          <w:szCs w:val="22"/>
        </w:rPr>
        <w:t xml:space="preserve">Home  ·  About  ·  Services  ·  Capabilities  ·  Industries  ·  Process  ·  Case Studies  ·  Team  ·  Contact</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"Why Us" can live as a section on Home, in the About dropdown, or as a standalone item depending on nav width. Recommend including in the footer at minimum.</w:t>
      </w:r>
    </w:p>
    <w:p>
      <w:pPr>
        <w:pStyle w:val="Heading3"/>
        <w:spacing w:after="100" w:before="200"/>
      </w:pPr>
      <w:r>
        <w:rPr>
          <w:rFonts w:ascii="Arial" w:cs="Arial" w:eastAsia="Arial" w:hAnsi="Arial"/>
          <w:b/>
          <w:bCs/>
          <w:color w:val="156082"/>
          <w:sz w:val="24"/>
          <w:szCs w:val="24"/>
        </w:rPr>
        <w:t xml:space="preserve">Primary CTA (used throughout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Start Your Transformation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3"/>
        <w:spacing w:after="100" w:before="200"/>
      </w:pPr>
      <w:r>
        <w:rPr>
          <w:rFonts w:ascii="Arial" w:cs="Arial" w:eastAsia="Arial" w:hAnsi="Arial"/>
          <w:b/>
          <w:bCs/>
          <w:color w:val="156082"/>
          <w:sz w:val="24"/>
          <w:szCs w:val="24"/>
        </w:rPr>
        <w:t xml:space="preserve">Secondary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See How We Work</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/process</w:t>
            </w:r>
          </w:p>
        </w:tc>
      </w:tr>
    </w:tbl>
    <w:p>
      <w:pPr>
        <w:pStyle w:val="Heading3"/>
        <w:spacing w:after="100" w:before="200"/>
      </w:pPr>
      <w:r>
        <w:rPr>
          <w:rFonts w:ascii="Arial" w:cs="Arial" w:eastAsia="Arial" w:hAnsi="Arial"/>
          <w:b/>
          <w:bCs/>
          <w:color w:val="156082"/>
          <w:sz w:val="24"/>
          <w:szCs w:val="24"/>
        </w:rPr>
        <w:t xml:space="preserve">Tagline (for hero areas, header, social cards)</w:t>
      </w:r>
    </w:p>
    <w:p>
      <w:pPr>
        <w:spacing w:after="120"/>
      </w:pPr>
      <w:r>
        <w:rPr>
          <w:rFonts w:ascii="Arial" w:cs="Arial" w:eastAsia="Arial" w:hAnsi="Arial"/>
          <w:b/>
          <w:bCs/>
          <w:i/>
          <w:iCs/>
          <w:color w:val="1A1A1A"/>
          <w:sz w:val="22"/>
          <w:szCs w:val="22"/>
        </w:rPr>
        <w:t xml:space="preserve">One Partner for Total Transformation</w:t>
      </w:r>
    </w:p>
    <w:p>
      <w:pPr>
        <w:pStyle w:val="Heading3"/>
        <w:spacing w:after="100" w:before="200"/>
      </w:pPr>
      <w:r>
        <w:rPr>
          <w:rFonts w:ascii="Arial" w:cs="Arial" w:eastAsia="Arial" w:hAnsi="Arial"/>
          <w:b/>
          <w:bCs/>
          <w:color w:val="156082"/>
          <w:sz w:val="24"/>
          <w:szCs w:val="24"/>
        </w:rPr>
        <w:t xml:space="preserve">Short Descriptor (for footer, social media bio, meta tags)</w:t>
      </w:r>
    </w:p>
    <w:p>
      <w:pPr>
        <w:spacing w:after="120"/>
      </w:pPr>
      <w:r>
        <w:rPr>
          <w:rFonts w:ascii="Arial" w:cs="Arial" w:eastAsia="Arial" w:hAnsi="Arial"/>
          <w:color w:val="1A1A1A"/>
          <w:sz w:val="22"/>
          <w:szCs w:val="22"/>
        </w:rPr>
        <w:t xml:space="preserve">A full-stack technology solutions provider delivering integrated software, AI, and connectivity infrastructure for digital transformation — through one accountable partner.</w:t>
      </w:r>
    </w:p>
    <w:p>
      <w:pPr>
        <w:pStyle w:val="Heading1"/>
        <w:pageBreakBefore/>
        <w:spacing w:after="240" w:before="200"/>
      </w:pPr>
      <w:r>
        <w:rPr>
          <w:rFonts w:ascii="Arial" w:cs="Arial" w:eastAsia="Arial" w:hAnsi="Arial"/>
          <w:b/>
          <w:bCs/>
          <w:color w:val="243C65"/>
          <w:sz w:val="40"/>
          <w:szCs w:val="40"/>
        </w:rPr>
        <w:t xml:space="preserve">01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Techtifai | One Partner for Total Transformation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Full-stack technology solutions provider delivering integrated software, AI, and connectivity infrastructure for digital transformation across Egypt and the GCC.</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digital transformation, full-stack technology, system integration, Egypt, GCC, AI, connectivity, enterprise IT</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HERO HEADLINE (H1)</w:t>
      </w:r>
    </w:p>
    <w:p>
      <w:pPr>
        <w:spacing w:after="120"/>
      </w:pPr>
      <w:r>
        <w:rPr>
          <w:rFonts w:ascii="Arial" w:cs="Arial" w:eastAsia="Arial" w:hAnsi="Arial"/>
          <w:b/>
          <w:bCs/>
          <w:color w:val="1A1A1A"/>
          <w:sz w:val="22"/>
          <w:szCs w:val="22"/>
        </w:rPr>
        <w:t xml:space="preserve">One Partner for Total Transformation</w:t>
      </w:r>
    </w:p>
    <w:p>
      <w:pPr>
        <w:spacing w:after="60" w:before="200"/>
      </w:pPr>
      <w:r>
        <w:rPr>
          <w:rFonts w:ascii="Arial" w:cs="Arial" w:eastAsia="Arial" w:hAnsi="Arial"/>
          <w:b/>
          <w:bCs/>
          <w:color w:val="E33722"/>
          <w:spacing w:val="30"/>
          <w:sz w:val="18"/>
          <w:szCs w:val="18"/>
        </w:rPr>
        <w:t xml:space="preserve">HERO SUBHEADLINE</w:t>
      </w:r>
    </w:p>
    <w:p>
      <w:pPr>
        <w:spacing w:after="120"/>
      </w:pPr>
      <w:r>
        <w:rPr>
          <w:rFonts w:ascii="Arial" w:cs="Arial" w:eastAsia="Arial" w:hAnsi="Arial"/>
          <w:color w:val="1A1A1A"/>
          <w:sz w:val="22"/>
          <w:szCs w:val="22"/>
        </w:rPr>
        <w:t xml:space="preserve">A full-stack technology solutions provider delivering integrated software, AI, and connectivity infrastructure for digital transformation — through one accountable partner.</w:t>
      </w:r>
    </w:p>
    <w:p>
      <w:pPr>
        <w:spacing w:after="60" w:before="200"/>
      </w:pPr>
      <w:r>
        <w:rPr>
          <w:rFonts w:ascii="Arial" w:cs="Arial" w:eastAsia="Arial" w:hAnsi="Arial"/>
          <w:b/>
          <w:bCs/>
          <w:color w:val="E33722"/>
          <w:spacing w:val="30"/>
          <w:sz w:val="18"/>
          <w:szCs w:val="18"/>
        </w:rPr>
        <w:t xml:space="preserve">HERO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Start Your Transformation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Explore Our Services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/services</w:t>
            </w:r>
          </w:p>
        </w:tc>
      </w:tr>
    </w:tbl>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Hero should be on the navy background with the white logo wordmark, light-blue accent line under the headline, and the red accent on the CTA button. Consider a tech-circuit pattern or subtle motion graphic in the background, similar to the cover slide of the pitch deck.</w:t>
      </w:r>
    </w:p>
    <w:p>
      <w:pPr>
        <w:pStyle w:val="Heading2"/>
        <w:spacing w:after="140" w:before="280"/>
      </w:pPr>
      <w:r>
        <w:rPr>
          <w:rFonts w:ascii="Arial" w:cs="Arial" w:eastAsia="Arial" w:hAnsi="Arial"/>
          <w:b/>
          <w:bCs/>
          <w:color w:val="243C65"/>
          <w:sz w:val="28"/>
          <w:szCs w:val="28"/>
        </w:rPr>
        <w:t xml:space="preserve">Section 1 — Value Proposition</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WHAT WE DO</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Techtifai: One Partner for Total Transformation</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A full-stack technology solutions provider delivering integrated software, AI, and connectivity infrastructure for digital transformation — through one accountable partner.</w:t>
      </w:r>
    </w:p>
    <w:p>
      <w:pPr>
        <w:pStyle w:val="Heading2"/>
        <w:spacing w:after="140" w:before="280"/>
      </w:pPr>
      <w:r>
        <w:rPr>
          <w:rFonts w:ascii="Arial" w:cs="Arial" w:eastAsia="Arial" w:hAnsi="Arial"/>
          <w:b/>
          <w:bCs/>
          <w:color w:val="243C65"/>
          <w:sz w:val="28"/>
          <w:szCs w:val="28"/>
        </w:rPr>
        <w:t xml:space="preserve">Section 2 — The Problem We Solve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THE PROBLEM</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Digital Transformation Breaks at the Handoffs</w:t>
      </w:r>
    </w:p>
    <w:p>
      <w:pPr>
        <w:spacing w:after="60" w:before="200"/>
      </w:pPr>
      <w:r>
        <w:rPr>
          <w:rFonts w:ascii="Arial" w:cs="Arial" w:eastAsia="Arial" w:hAnsi="Arial"/>
          <w:b/>
          <w:bCs/>
          <w:color w:val="E33722"/>
          <w:spacing w:val="30"/>
          <w:sz w:val="18"/>
          <w:szCs w:val="18"/>
        </w:rPr>
        <w:t xml:space="preserve">FOUR PROBLEM POINTS (4-CARD GRID)</w:t>
      </w:r>
    </w:p>
    <w:p>
      <w:pPr>
        <w:pStyle w:val="ListParagraph"/>
        <w:numPr>
          <w:ilvl w:val="0"/>
          <w:numId w:val="2"/>
        </w:numPr>
        <w:spacing w:after="80"/>
      </w:pPr>
      <w:r>
        <w:rPr>
          <w:rFonts w:ascii="Arial" w:cs="Arial" w:eastAsia="Arial" w:hAnsi="Arial"/>
          <w:color w:val="1A1A1A"/>
          <w:sz w:val="22"/>
          <w:szCs w:val="22"/>
        </w:rPr>
        <w:t xml:space="preserve">Enterprises are forced to work with multiple vendors for software, hardware, and infrastructure, creating fragmentation and accountability gaps.</w:t>
      </w:r>
    </w:p>
    <w:p>
      <w:pPr>
        <w:pStyle w:val="ListParagraph"/>
        <w:numPr>
          <w:ilvl w:val="0"/>
          <w:numId w:val="2"/>
        </w:numPr>
        <w:spacing w:after="80"/>
      </w:pPr>
      <w:r>
        <w:rPr>
          <w:rFonts w:ascii="Arial" w:cs="Arial" w:eastAsia="Arial" w:hAnsi="Arial"/>
          <w:color w:val="1A1A1A"/>
          <w:sz w:val="22"/>
          <w:szCs w:val="22"/>
        </w:rPr>
        <w:t xml:space="preserve">Digital transformation projects stall due to the lack of a single integration partner who owns the full outcome.</w:t>
      </w:r>
    </w:p>
    <w:p>
      <w:pPr>
        <w:pStyle w:val="ListParagraph"/>
        <w:numPr>
          <w:ilvl w:val="0"/>
          <w:numId w:val="2"/>
        </w:numPr>
        <w:spacing w:after="80"/>
      </w:pPr>
      <w:r>
        <w:rPr>
          <w:rFonts w:ascii="Arial" w:cs="Arial" w:eastAsia="Arial" w:hAnsi="Arial"/>
          <w:color w:val="1A1A1A"/>
          <w:sz w:val="22"/>
          <w:szCs w:val="22"/>
        </w:rPr>
        <w:t xml:space="preserve">Businesses struggle to find providers capable of delivering both the digital layer and the physical connectivity layer in one solution.</w:t>
      </w:r>
    </w:p>
    <w:p>
      <w:pPr>
        <w:pStyle w:val="ListParagraph"/>
        <w:numPr>
          <w:ilvl w:val="0"/>
          <w:numId w:val="2"/>
        </w:numPr>
        <w:spacing w:after="80"/>
      </w:pPr>
      <w:r>
        <w:rPr>
          <w:rFonts w:ascii="Arial" w:cs="Arial" w:eastAsia="Arial" w:hAnsi="Arial"/>
          <w:color w:val="1A1A1A"/>
          <w:sz w:val="22"/>
          <w:szCs w:val="22"/>
        </w:rPr>
        <w:t xml:space="preserve">Companies needing only specific technology products still face the frustration of navigating multiple vendors and distributors on their own.</w:t>
      </w:r>
    </w:p>
    <w:p>
      <w:pPr>
        <w:pStyle w:val="Heading2"/>
        <w:spacing w:after="140" w:before="280"/>
      </w:pPr>
      <w:r>
        <w:rPr>
          <w:rFonts w:ascii="Arial" w:cs="Arial" w:eastAsia="Arial" w:hAnsi="Arial"/>
          <w:b/>
          <w:bCs/>
          <w:color w:val="243C65"/>
          <w:sz w:val="28"/>
          <w:szCs w:val="28"/>
        </w:rPr>
        <w:t xml:space="preserve">Section 3 — The Solution</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OUR APPROACH</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Full Stack. Fully Accountable.</w:t>
      </w:r>
    </w:p>
    <w:p>
      <w:pPr>
        <w:spacing w:after="60" w:before="200"/>
      </w:pPr>
      <w:r>
        <w:rPr>
          <w:rFonts w:ascii="Arial" w:cs="Arial" w:eastAsia="Arial" w:hAnsi="Arial"/>
          <w:b/>
          <w:bCs/>
          <w:color w:val="E33722"/>
          <w:spacing w:val="30"/>
          <w:sz w:val="18"/>
          <w:szCs w:val="18"/>
        </w:rPr>
        <w:t xml:space="preserve">FOUR PILLARS (4-CARD GRID WITH ICONS)</w:t>
      </w:r>
    </w:p>
    <w:p>
      <w:pPr>
        <w:pStyle w:val="ListParagraph"/>
        <w:numPr>
          <w:ilvl w:val="0"/>
          <w:numId w:val="2"/>
        </w:numPr>
        <w:spacing w:after="80"/>
      </w:pPr>
      <w:r>
        <w:rPr>
          <w:rFonts w:ascii="Arial" w:cs="Arial" w:eastAsia="Arial" w:hAnsi="Arial"/>
          <w:color w:val="1A1A1A"/>
          <w:sz w:val="22"/>
          <w:szCs w:val="22"/>
        </w:rPr>
        <w:t xml:space="preserve">Enabling businesses to undergo digital transformation without the complexity of dealing with multiple vendors.</w:t>
      </w:r>
    </w:p>
    <w:p>
      <w:pPr>
        <w:pStyle w:val="ListParagraph"/>
        <w:numPr>
          <w:ilvl w:val="0"/>
          <w:numId w:val="2"/>
        </w:numPr>
        <w:spacing w:after="80"/>
      </w:pPr>
      <w:r>
        <w:rPr>
          <w:rFonts w:ascii="Arial" w:cs="Arial" w:eastAsia="Arial" w:hAnsi="Arial"/>
          <w:color w:val="1A1A1A"/>
          <w:sz w:val="22"/>
          <w:szCs w:val="22"/>
        </w:rPr>
        <w:t xml:space="preserve">Bundling software (engagement platforms, custom development, system automation) with AI-powered communication tools.</w:t>
      </w:r>
    </w:p>
    <w:p>
      <w:pPr>
        <w:pStyle w:val="ListParagraph"/>
        <w:numPr>
          <w:ilvl w:val="0"/>
          <w:numId w:val="2"/>
        </w:numPr>
        <w:spacing w:after="80"/>
      </w:pPr>
      <w:r>
        <w:rPr>
          <w:rFonts w:ascii="Arial" w:cs="Arial" w:eastAsia="Arial" w:hAnsi="Arial"/>
          <w:color w:val="1A1A1A"/>
          <w:sz w:val="22"/>
          <w:szCs w:val="22"/>
        </w:rPr>
        <w:t xml:space="preserve">Providing connectivity infrastructure including networking hardware, LTE/5G solutions, and telecom equipment.</w:t>
      </w:r>
    </w:p>
    <w:p>
      <w:pPr>
        <w:pStyle w:val="ListParagraph"/>
        <w:numPr>
          <w:ilvl w:val="0"/>
          <w:numId w:val="2"/>
        </w:numPr>
        <w:spacing w:after="80"/>
      </w:pPr>
      <w:r>
        <w:rPr>
          <w:rFonts w:ascii="Arial" w:cs="Arial" w:eastAsia="Arial" w:hAnsi="Arial"/>
          <w:color w:val="1A1A1A"/>
          <w:sz w:val="22"/>
          <w:szCs w:val="22"/>
        </w:rPr>
        <w:t xml:space="preserve">Clients get a single, accountable partner delivering the full picture — from the software layer to physical infrastructure.</w:t>
      </w:r>
    </w:p>
    <w:p>
      <w:pPr>
        <w:pStyle w:val="Heading2"/>
        <w:spacing w:after="140" w:before="280"/>
      </w:pPr>
      <w:r>
        <w:rPr>
          <w:rFonts w:ascii="Arial" w:cs="Arial" w:eastAsia="Arial" w:hAnsi="Arial"/>
          <w:b/>
          <w:bCs/>
          <w:color w:val="243C65"/>
          <w:sz w:val="28"/>
          <w:szCs w:val="28"/>
        </w:rPr>
        <w:t xml:space="preserve">Section 4 — Two-Layer Model (Visual)</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THE FULL-STACK FIX</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Two Layers. One Integrated Outcome.</w:t>
      </w:r>
    </w:p>
    <w:p>
      <w:pPr>
        <w:spacing w:after="60" w:before="200"/>
      </w:pPr>
      <w:r>
        <w:rPr>
          <w:rFonts w:ascii="Arial" w:cs="Arial" w:eastAsia="Arial" w:hAnsi="Arial"/>
          <w:b/>
          <w:bCs/>
          <w:color w:val="E33722"/>
          <w:spacing w:val="30"/>
          <w:sz w:val="18"/>
          <w:szCs w:val="18"/>
        </w:rPr>
        <w:t xml:space="preserve">LAYER 1 — SOFTWARE &amp; DIGITAL LAYER</w:t>
      </w:r>
    </w:p>
    <w:p>
      <w:pPr>
        <w:spacing w:after="120"/>
      </w:pPr>
      <w:r>
        <w:rPr>
          <w:rFonts w:ascii="Arial" w:cs="Arial" w:eastAsia="Arial" w:hAnsi="Arial"/>
          <w:color w:val="1A1A1A"/>
          <w:sz w:val="22"/>
          <w:szCs w:val="22"/>
        </w:rPr>
        <w:t xml:space="preserve">Covers customer engagement platforms, AI tools, custom software, and system automation and integration.</w:t>
      </w:r>
    </w:p>
    <w:p>
      <w:pPr>
        <w:spacing w:after="60" w:before="200"/>
      </w:pPr>
      <w:r>
        <w:rPr>
          <w:rFonts w:ascii="Arial" w:cs="Arial" w:eastAsia="Arial" w:hAnsi="Arial"/>
          <w:b/>
          <w:bCs/>
          <w:color w:val="E33722"/>
          <w:spacing w:val="30"/>
          <w:sz w:val="18"/>
          <w:szCs w:val="18"/>
        </w:rPr>
        <w:t xml:space="preserve">LAYER 2 — CONNECTIVITY &amp; INFRASTRUCTURE LAYER</w:t>
      </w:r>
    </w:p>
    <w:p>
      <w:pPr>
        <w:spacing w:after="120"/>
      </w:pPr>
      <w:r>
        <w:rPr>
          <w:rFonts w:ascii="Arial" w:cs="Arial" w:eastAsia="Arial" w:hAnsi="Arial"/>
          <w:color w:val="1A1A1A"/>
          <w:sz w:val="22"/>
          <w:szCs w:val="22"/>
        </w:rPr>
        <w:t xml:space="preserve">Covers CPE/VDSL/GPON ONT routers, Wi-Fi 6 AX3000, FWA LTE Cat 6 and 5G routers, IoT gateways, payment terminal connectivity, and enterprise networking.</w:t>
      </w:r>
    </w:p>
    <w:p>
      <w:pPr>
        <w:spacing w:after="60" w:before="200"/>
      </w:pPr>
      <w:r>
        <w:rPr>
          <w:rFonts w:ascii="Arial" w:cs="Arial" w:eastAsia="Arial" w:hAnsi="Arial"/>
          <w:b/>
          <w:bCs/>
          <w:color w:val="E33722"/>
          <w:spacing w:val="30"/>
          <w:sz w:val="18"/>
          <w:szCs w:val="18"/>
        </w:rPr>
        <w:t xml:space="preserve">CLOSING STATEMENT</w:t>
      </w:r>
    </w:p>
    <w:p>
      <w:pPr>
        <w:spacing w:after="120"/>
      </w:pPr>
      <w:r>
        <w:rPr>
          <w:rFonts w:ascii="Arial" w:cs="Arial" w:eastAsia="Arial" w:hAnsi="Arial"/>
          <w:i/>
          <w:iCs/>
          <w:color w:val="1A1A1A"/>
          <w:sz w:val="22"/>
          <w:szCs w:val="22"/>
        </w:rPr>
        <w:t xml:space="preserve">The Core Value lies in integrating both layers under one delivery model — eliminating fragmentation and finger-pointing.</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Consider a stacked visual on this section showing the two layers connected by a vertical integration line, with the closing statement as a banner below.</w:t>
      </w:r>
    </w:p>
    <w:p>
      <w:pPr>
        <w:pStyle w:val="Heading2"/>
        <w:spacing w:after="140" w:before="280"/>
      </w:pPr>
      <w:r>
        <w:rPr>
          <w:rFonts w:ascii="Arial" w:cs="Arial" w:eastAsia="Arial" w:hAnsi="Arial"/>
          <w:b/>
          <w:bCs/>
          <w:color w:val="243C65"/>
          <w:sz w:val="28"/>
          <w:szCs w:val="28"/>
        </w:rPr>
        <w:t xml:space="preserve">Section 5 — Featured Industries (Preview)</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WHO WE SERVE</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Built for Enterprises With Real Transformation Needs</w:t>
      </w:r>
    </w:p>
    <w:p>
      <w:pPr>
        <w:spacing w:after="60" w:before="200"/>
      </w:pPr>
      <w:r>
        <w:rPr>
          <w:rFonts w:ascii="Arial" w:cs="Arial" w:eastAsia="Arial" w:hAnsi="Arial"/>
          <w:b/>
          <w:bCs/>
          <w:color w:val="E33722"/>
          <w:spacing w:val="30"/>
          <w:sz w:val="18"/>
          <w:szCs w:val="18"/>
        </w:rPr>
        <w:t xml:space="preserve">INDUSTRIES (ICON GRID)</w:t>
      </w:r>
    </w:p>
    <w:p>
      <w:pPr>
        <w:spacing w:after="120"/>
      </w:pPr>
      <w:r>
        <w:rPr>
          <w:rFonts w:ascii="Arial" w:cs="Arial" w:eastAsia="Arial" w:hAnsi="Arial"/>
          <w:color w:val="1A1A1A"/>
          <w:sz w:val="22"/>
          <w:szCs w:val="22"/>
        </w:rPr>
        <w:t xml:space="preserve">Real estate · Retail · Banking and Financial Services · Telecom · Education · Hospitality · Government</w:t>
      </w:r>
    </w:p>
    <w:p>
      <w:pPr>
        <w:spacing w:after="60" w:before="200"/>
      </w:pPr>
      <w:r>
        <w:rPr>
          <w:rFonts w:ascii="Arial" w:cs="Arial" w:eastAsia="Arial" w:hAnsi="Arial"/>
          <w:b/>
          <w:bCs/>
          <w:color w:val="E33722"/>
          <w:spacing w:val="30"/>
          <w:sz w:val="18"/>
          <w:szCs w:val="18"/>
        </w:rP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See All Industries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/industries</w:t>
            </w:r>
          </w:p>
        </w:tc>
      </w:tr>
    </w:tbl>
    <w:p>
      <w:pPr>
        <w:pStyle w:val="Heading2"/>
        <w:spacing w:after="140" w:before="280"/>
      </w:pPr>
      <w:r>
        <w:rPr>
          <w:rFonts w:ascii="Arial" w:cs="Arial" w:eastAsia="Arial" w:hAnsi="Arial"/>
          <w:b/>
          <w:bCs/>
          <w:color w:val="243C65"/>
          <w:sz w:val="28"/>
          <w:szCs w:val="28"/>
        </w:rPr>
        <w:t xml:space="preserve">Section 6 — Featured Case Study</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PROVEN RESULTS</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Enterprise AI That Delivers Real Operational Gains</w:t>
      </w:r>
    </w:p>
    <w:p>
      <w:pPr>
        <w:spacing w:after="60" w:before="200"/>
      </w:pPr>
      <w:r>
        <w:rPr>
          <w:rFonts w:ascii="Arial" w:cs="Arial" w:eastAsia="Arial" w:hAnsi="Arial"/>
          <w:b/>
          <w:bCs/>
          <w:color w:val="E33722"/>
          <w:spacing w:val="30"/>
          <w:sz w:val="18"/>
          <w:szCs w:val="18"/>
        </w:rPr>
        <w:t xml:space="preserve">CASE STUDY HIGHLIGHT (PREVIEW CARD)</w:t>
      </w:r>
    </w:p>
    <w:p>
      <w:pPr>
        <w:spacing w:after="120"/>
      </w:pPr>
      <w:r>
        <w:rPr>
          <w:rFonts w:ascii="Arial" w:cs="Arial" w:eastAsia="Arial" w:hAnsi="Arial"/>
          <w:color w:val="1A1A1A"/>
          <w:sz w:val="22"/>
          <w:szCs w:val="22"/>
        </w:rPr>
        <w:t xml:space="preserve">Reduced query resolution time from 24 hours to under 2 minutes for a leading regional bank — and deflected 65% of routine tickets away from human agents.</w:t>
      </w:r>
    </w:p>
    <w:p>
      <w:pPr>
        <w:spacing w:after="60" w:before="200"/>
      </w:pPr>
      <w:r>
        <w:rPr>
          <w:rFonts w:ascii="Arial" w:cs="Arial" w:eastAsia="Arial" w:hAnsi="Arial"/>
          <w:b/>
          <w:bCs/>
          <w:color w:val="E33722"/>
          <w:spacing w:val="30"/>
          <w:sz w:val="18"/>
          <w:szCs w:val="18"/>
        </w:rP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Read All Case Studies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/case-studies</w:t>
            </w:r>
          </w:p>
        </w:tc>
      </w:tr>
    </w:tbl>
    <w:p>
      <w:pPr>
        <w:pStyle w:val="Heading2"/>
        <w:spacing w:after="140" w:before="280"/>
      </w:pPr>
      <w:r>
        <w:rPr>
          <w:rFonts w:ascii="Arial" w:cs="Arial" w:eastAsia="Arial" w:hAnsi="Arial"/>
          <w:b/>
          <w:bCs/>
          <w:color w:val="243C65"/>
          <w:sz w:val="28"/>
          <w:szCs w:val="28"/>
        </w:rPr>
        <w:t xml:space="preserve">Section 7 — Why Choose Us (Preview)</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A New Kind of Technology Delivery Partner</w:t>
      </w:r>
    </w:p>
    <w:p>
      <w:pPr>
        <w:spacing w:after="60" w:before="200"/>
      </w:pPr>
      <w:r>
        <w:rPr>
          <w:rFonts w:ascii="Arial" w:cs="Arial" w:eastAsia="Arial" w:hAnsi="Arial"/>
          <w:b/>
          <w:bCs/>
          <w:color w:val="E33722"/>
          <w:spacing w:val="30"/>
          <w:sz w:val="18"/>
          <w:szCs w:val="18"/>
        </w:rPr>
        <w:t xml:space="preserve">THREE HIGHLIGHT POINTS (PREVIEW)</w:t>
      </w:r>
    </w:p>
    <w:p>
      <w:pPr>
        <w:pStyle w:val="ListParagraph"/>
        <w:numPr>
          <w:ilvl w:val="0"/>
          <w:numId w:val="2"/>
        </w:numPr>
        <w:spacing w:after="80"/>
      </w:pPr>
      <w:r>
        <w:rPr>
          <w:rFonts w:ascii="Arial" w:cs="Arial" w:eastAsia="Arial" w:hAnsi="Arial"/>
          <w:color w:val="1A1A1A"/>
          <w:sz w:val="22"/>
          <w:szCs w:val="22"/>
        </w:rPr>
        <w:t xml:space="preserve">Full-Stack Capability — software and physical infrastructure as one partner.</w:t>
      </w:r>
    </w:p>
    <w:p>
      <w:pPr>
        <w:pStyle w:val="ListParagraph"/>
        <w:numPr>
          <w:ilvl w:val="0"/>
          <w:numId w:val="2"/>
        </w:numPr>
        <w:spacing w:after="80"/>
      </w:pPr>
      <w:r>
        <w:rPr>
          <w:rFonts w:ascii="Arial" w:cs="Arial" w:eastAsia="Arial" w:hAnsi="Arial"/>
          <w:color w:val="1A1A1A"/>
          <w:sz w:val="22"/>
          <w:szCs w:val="22"/>
        </w:rPr>
        <w:t xml:space="preserve">No Vendor Finger-Pointing — owning the full solution and the outcome.</w:t>
      </w:r>
    </w:p>
    <w:p>
      <w:pPr>
        <w:pStyle w:val="ListParagraph"/>
        <w:numPr>
          <w:ilvl w:val="0"/>
          <w:numId w:val="2"/>
        </w:numPr>
        <w:spacing w:after="80"/>
      </w:pPr>
      <w:r>
        <w:rPr>
          <w:rFonts w:ascii="Arial" w:cs="Arial" w:eastAsia="Arial" w:hAnsi="Arial"/>
          <w:color w:val="1A1A1A"/>
          <w:sz w:val="22"/>
          <w:szCs w:val="22"/>
        </w:rPr>
        <w:t xml:space="preserve">Egypt Cost Advantage — high-quality output at highly competitive pricing.</w:t>
      </w:r>
    </w:p>
    <w:p>
      <w:pPr>
        <w:spacing w:after="60" w:before="200"/>
      </w:pPr>
      <w:r>
        <w:rPr>
          <w:rFonts w:ascii="Arial" w:cs="Arial" w:eastAsia="Arial" w:hAnsi="Arial"/>
          <w:b/>
          <w:bCs/>
          <w:color w:val="E33722"/>
          <w:spacing w:val="30"/>
          <w:sz w:val="18"/>
          <w:szCs w:val="18"/>
        </w:rPr>
        <w:t xml:space="preserv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See Why Clients Choose Us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/why-us</w:t>
            </w:r>
          </w:p>
        </w:tc>
      </w:tr>
    </w:tbl>
    <w:p>
      <w:pPr>
        <w:pStyle w:val="Heading2"/>
        <w:spacing w:after="140" w:before="280"/>
      </w:pPr>
      <w:r>
        <w:rPr>
          <w:rFonts w:ascii="Arial" w:cs="Arial" w:eastAsia="Arial" w:hAnsi="Arial"/>
          <w:b/>
          <w:bCs/>
          <w:color w:val="243C65"/>
          <w:sz w:val="28"/>
          <w:szCs w:val="28"/>
        </w:rPr>
        <w:t xml:space="preserve">Section 8 — Closing CTA Band</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The Trusted Partner for End-to-End Transformation</w:t>
      </w:r>
    </w:p>
    <w:p>
      <w:pPr>
        <w:spacing w:after="60" w:before="200"/>
      </w:pPr>
      <w:r>
        <w:rPr>
          <w:rFonts w:ascii="Arial" w:cs="Arial" w:eastAsia="Arial" w:hAnsi="Arial"/>
          <w:b/>
          <w:bCs/>
          <w:color w:val="E33722"/>
          <w:spacing w:val="30"/>
          <w:sz w:val="18"/>
          <w:szCs w:val="18"/>
        </w:rPr>
        <w:t xml:space="preserve">SUB COPY</w:t>
      </w:r>
    </w:p>
    <w:p>
      <w:pPr>
        <w:spacing w:after="120"/>
      </w:pPr>
      <w:r>
        <w:rPr>
          <w:rFonts w:ascii="Arial" w:cs="Arial" w:eastAsia="Arial" w:hAnsi="Arial"/>
          <w:i/>
          <w:iCs/>
          <w:color w:val="1A1A1A"/>
          <w:sz w:val="22"/>
          <w:szCs w:val="22"/>
        </w:rPr>
        <w:t xml:space="preserve">Build. Scale. Transform.</w:t>
      </w:r>
    </w:p>
    <w:p>
      <w:pPr>
        <w:spacing w:after="60" w:before="200"/>
      </w:pPr>
      <w:r>
        <w:rPr>
          <w:rFonts w:ascii="Arial" w:cs="Arial" w:eastAsia="Arial" w:hAnsi="Arial"/>
          <w:b/>
          <w:bCs/>
          <w:color w:val="E33722"/>
          <w:spacing w:val="30"/>
          <w:sz w:val="18"/>
          <w:szCs w:val="18"/>
        </w:rPr>
        <w:t xml:space="preserv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Start Your Transformation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This closing band should sit on the navy hero-style background to bookend the page with the same visual treatment as the top hero.</w:t>
      </w:r>
    </w:p>
    <w:p>
      <w:pPr>
        <w:pStyle w:val="Heading1"/>
        <w:pageBreakBefore/>
        <w:spacing w:after="240" w:before="200"/>
      </w:pPr>
      <w:r>
        <w:rPr>
          <w:rFonts w:ascii="Arial" w:cs="Arial" w:eastAsia="Arial" w:hAnsi="Arial"/>
          <w:b/>
          <w:bCs/>
          <w:color w:val="243C65"/>
          <w:sz w:val="40"/>
          <w:szCs w:val="40"/>
        </w:rPr>
        <w:t xml:space="preserve">02 —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About Techtifai | Full-Stack Technology Partner</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Founded in 2025, Techtifai is built to be the single partner for total digital transformation across Egypt, the GCC, and emerging markets.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about techtifai, technology partner, digital transformation Egypt, GCC technology, founded 2025</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Built in 2025, Positioned for Regional Transformation</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The technology market in Egypt and the GCC is highly fragmented. We built Techtifai to be a single partner who takes full responsibility for the entire technology stack, delivering it as a cohesive, working solution.</w:t>
      </w:r>
    </w:p>
    <w:p>
      <w:pPr>
        <w:pStyle w:val="Heading2"/>
        <w:spacing w:after="140" w:before="280"/>
      </w:pPr>
      <w:r>
        <w:rPr>
          <w:rFonts w:ascii="Arial" w:cs="Arial" w:eastAsia="Arial" w:hAnsi="Arial"/>
          <w:b/>
          <w:bCs/>
          <w:color w:val="243C65"/>
          <w:sz w:val="28"/>
          <w:szCs w:val="28"/>
        </w:rPr>
        <w:t xml:space="preserve">Section 1 — Our Story</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OUR STORY</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The Market Didn't Need More Vendors</w:t>
      </w:r>
    </w:p>
    <w:p>
      <w:pPr>
        <w:spacing w:after="60" w:before="200"/>
      </w:pPr>
      <w:r>
        <w:rPr>
          <w:rFonts w:ascii="Arial" w:cs="Arial" w:eastAsia="Arial" w:hAnsi="Arial"/>
          <w:b/>
          <w:bCs/>
          <w:color w:val="E33722"/>
          <w:spacing w:val="30"/>
          <w:sz w:val="18"/>
          <w:szCs w:val="18"/>
        </w:rPr>
        <w:t xml:space="preserve">BODY COPY</w:t>
      </w:r>
    </w:p>
    <w:p>
      <w:pPr>
        <w:spacing w:after="120"/>
      </w:pPr>
      <w:r>
        <w:rPr>
          <w:rFonts w:ascii="Arial" w:cs="Arial" w:eastAsia="Arial" w:hAnsi="Arial"/>
          <w:color w:val="1A1A1A"/>
          <w:sz w:val="22"/>
          <w:szCs w:val="22"/>
        </w:rPr>
        <w:t xml:space="preserve">The technology market in Egypt and the GCC is highly fragmented.</w:t>
      </w:r>
    </w:p>
    <w:p>
      <w:pPr>
        <w:spacing w:after="120"/>
      </w:pPr>
      <w:r>
        <w:rPr>
          <w:rFonts w:ascii="Arial" w:cs="Arial" w:eastAsia="Arial" w:hAnsi="Arial"/>
          <w:color w:val="1A1A1A"/>
          <w:sz w:val="22"/>
          <w:szCs w:val="22"/>
        </w:rPr>
        <w:t xml:space="preserve">Companies often deal with separate vendors for software, hardware, connectivity, and integration—leading to finger-pointing when things go wrong.</w:t>
      </w:r>
    </w:p>
    <w:p>
      <w:pPr>
        <w:spacing w:after="120"/>
      </w:pPr>
      <w:r>
        <w:rPr>
          <w:rFonts w:ascii="Arial" w:cs="Arial" w:eastAsia="Arial" w:hAnsi="Arial"/>
          <w:color w:val="1A1A1A"/>
          <w:sz w:val="22"/>
          <w:szCs w:val="22"/>
        </w:rPr>
        <w:t xml:space="preserve">We built Techtifai to be a single partner who takes full responsibility for the entire technology stack, delivering it as a cohesive, working solution.</w:t>
      </w:r>
    </w:p>
    <w:p>
      <w:pPr>
        <w:pStyle w:val="Heading2"/>
        <w:spacing w:after="140" w:before="280"/>
      </w:pPr>
      <w:r>
        <w:rPr>
          <w:rFonts w:ascii="Arial" w:cs="Arial" w:eastAsia="Arial" w:hAnsi="Arial"/>
          <w:b/>
          <w:bCs/>
          <w:color w:val="243C65"/>
          <w:sz w:val="28"/>
          <w:szCs w:val="28"/>
        </w:rPr>
        <w:t xml:space="preserve">Section 2 — Company Snapshot</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Built in 2025, Positioned for Regional Transformation</w:t>
      </w:r>
    </w:p>
    <w:p>
      <w:pPr>
        <w:spacing w:after="60" w:before="200"/>
      </w:pPr>
      <w:r>
        <w:rPr>
          <w:rFonts w:ascii="Arial" w:cs="Arial" w:eastAsia="Arial" w:hAnsi="Arial"/>
          <w:b/>
          <w:bCs/>
          <w:color w:val="E33722"/>
          <w:spacing w:val="30"/>
          <w:sz w:val="18"/>
          <w:szCs w:val="18"/>
        </w:rPr>
        <w:t xml:space="preserve">SNAPSHOT STATS (4-CARD GRID)</w:t>
      </w:r>
    </w:p>
    <w:p>
      <w:pPr>
        <w:pStyle w:val="ListParagraph"/>
        <w:numPr>
          <w:ilvl w:val="0"/>
          <w:numId w:val="2"/>
        </w:numPr>
        <w:spacing w:after="80"/>
      </w:pPr>
      <w:r>
        <w:rPr>
          <w:rFonts w:ascii="Arial" w:cs="Arial" w:eastAsia="Arial" w:hAnsi="Arial"/>
          <w:color w:val="1A1A1A"/>
          <w:sz w:val="22"/>
          <w:szCs w:val="22"/>
        </w:rPr>
        <w:t xml:space="preserve">Founded in 2025 as part of a broader leadership vision focused on scalable, high-impact regional businesses.</w:t>
      </w:r>
    </w:p>
    <w:p>
      <w:pPr>
        <w:pStyle w:val="ListParagraph"/>
        <w:numPr>
          <w:ilvl w:val="0"/>
          <w:numId w:val="2"/>
        </w:numPr>
        <w:spacing w:after="80"/>
      </w:pPr>
      <w:r>
        <w:rPr>
          <w:rFonts w:ascii="Arial" w:cs="Arial" w:eastAsia="Arial" w:hAnsi="Arial"/>
          <w:color w:val="1A1A1A"/>
          <w:sz w:val="22"/>
          <w:szCs w:val="22"/>
        </w:rPr>
        <w:t xml:space="preserve">Currently in the early commercial phase with enterprise-ready capability.</w:t>
      </w:r>
    </w:p>
    <w:p>
      <w:pPr>
        <w:pStyle w:val="ListParagraph"/>
        <w:numPr>
          <w:ilvl w:val="0"/>
          <w:numId w:val="2"/>
        </w:numPr>
        <w:spacing w:after="80"/>
      </w:pPr>
      <w:r>
        <w:rPr>
          <w:rFonts w:ascii="Arial" w:cs="Arial" w:eastAsia="Arial" w:hAnsi="Arial"/>
          <w:color w:val="1A1A1A"/>
          <w:sz w:val="22"/>
          <w:szCs w:val="22"/>
        </w:rPr>
        <w:t xml:space="preserve">Primary delivery hub is Egypt, with a near-term commercial focus on Saudi Arabia, the UAE, and the broader GCC.</w:t>
      </w:r>
    </w:p>
    <w:p>
      <w:pPr>
        <w:pStyle w:val="ListParagraph"/>
        <w:numPr>
          <w:ilvl w:val="0"/>
          <w:numId w:val="2"/>
        </w:numPr>
        <w:spacing w:after="80"/>
      </w:pPr>
      <w:r>
        <w:rPr>
          <w:rFonts w:ascii="Arial" w:cs="Arial" w:eastAsia="Arial" w:hAnsi="Arial"/>
          <w:color w:val="1A1A1A"/>
          <w:sz w:val="22"/>
          <w:szCs w:val="22"/>
        </w:rPr>
        <w:t xml:space="preserve">Scale path extending into MENA, Africa, and emerging markets globally.</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Suggest a large numeric stat treatment for "2025" and a map graphic for the geographic reach.</w:t>
      </w:r>
    </w:p>
    <w:p>
      <w:pPr>
        <w:pStyle w:val="Heading2"/>
        <w:spacing w:after="140" w:before="280"/>
      </w:pPr>
      <w:r>
        <w:rPr>
          <w:rFonts w:ascii="Arial" w:cs="Arial" w:eastAsia="Arial" w:hAnsi="Arial"/>
          <w:b/>
          <w:bCs/>
          <w:color w:val="243C65"/>
          <w:sz w:val="28"/>
          <w:szCs w:val="28"/>
        </w:rPr>
        <w:t xml:space="preserve">Section 3 — Vision &amp; Mission</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THE AMBITION BEHIND THE PLATFORM</w:t>
      </w:r>
    </w:p>
    <w:p>
      <w:pPr>
        <w:spacing w:after="60" w:before="200"/>
      </w:pPr>
      <w:r>
        <w:rPr>
          <w:rFonts w:ascii="Arial" w:cs="Arial" w:eastAsia="Arial" w:hAnsi="Arial"/>
          <w:b/>
          <w:bCs/>
          <w:color w:val="E33722"/>
          <w:spacing w:val="30"/>
          <w:sz w:val="18"/>
          <w:szCs w:val="18"/>
        </w:rPr>
        <w:t xml:space="preserve">VISION (LEFT CARD, NAVY BACKGROUND)</w:t>
      </w:r>
    </w:p>
    <w:p>
      <w:pPr>
        <w:spacing w:after="120"/>
      </w:pPr>
      <w:r>
        <w:rPr>
          <w:rFonts w:ascii="Arial" w:cs="Arial" w:eastAsia="Arial" w:hAnsi="Arial"/>
          <w:b/>
          <w:bCs/>
          <w:color w:val="1A1A1A"/>
          <w:sz w:val="22"/>
          <w:szCs w:val="22"/>
        </w:rPr>
        <w:t xml:space="preserve">Vision</w:t>
      </w:r>
    </w:p>
    <w:p>
      <w:pPr>
        <w:spacing w:after="120"/>
      </w:pPr>
      <w:r>
        <w:rPr>
          <w:rFonts w:ascii="Arial" w:cs="Arial" w:eastAsia="Arial" w:hAnsi="Arial"/>
          <w:color w:val="1A1A1A"/>
          <w:sz w:val="22"/>
          <w:szCs w:val="22"/>
        </w:rPr>
        <w:t xml:space="preserve">To be the go-to full-stack technology partner for enterprises undergoing digital transformation across Egypt and the GCC — and eventually, across emerging markets globally.</w:t>
      </w:r>
    </w:p>
    <w:p>
      <w:pPr>
        <w:spacing w:after="60" w:before="200"/>
      </w:pPr>
      <w:r>
        <w:rPr>
          <w:rFonts w:ascii="Arial" w:cs="Arial" w:eastAsia="Arial" w:hAnsi="Arial"/>
          <w:b/>
          <w:bCs/>
          <w:color w:val="E33722"/>
          <w:spacing w:val="30"/>
          <w:sz w:val="18"/>
          <w:szCs w:val="18"/>
        </w:rPr>
        <w:t xml:space="preserve">MISSION (RIGHT CARD, WHITE/LIGHT BACKGROUND)</w:t>
      </w:r>
    </w:p>
    <w:p>
      <w:pPr>
        <w:spacing w:after="120"/>
      </w:pPr>
      <w:r>
        <w:rPr>
          <w:rFonts w:ascii="Arial" w:cs="Arial" w:eastAsia="Arial" w:hAnsi="Arial"/>
          <w:b/>
          <w:bCs/>
          <w:color w:val="1A1A1A"/>
          <w:sz w:val="22"/>
          <w:szCs w:val="22"/>
        </w:rPr>
        <w:t xml:space="preserve">Mission</w:t>
      </w:r>
    </w:p>
    <w:p>
      <w:pPr>
        <w:spacing w:after="120"/>
      </w:pPr>
      <w:r>
        <w:rPr>
          <w:rFonts w:ascii="Arial" w:cs="Arial" w:eastAsia="Arial" w:hAnsi="Arial"/>
          <w:color w:val="1A1A1A"/>
          <w:sz w:val="22"/>
          <w:szCs w:val="22"/>
        </w:rPr>
        <w:t xml:space="preserve">To simplify digital transformation by delivering integrated, end-to-end technology solutions that replace the complexity of multi-vendor relationships with a single, trusted partner.</w:t>
      </w:r>
    </w:p>
    <w:p>
      <w:pPr>
        <w:pStyle w:val="Heading2"/>
        <w:spacing w:after="140" w:before="280"/>
      </w:pPr>
      <w:r>
        <w:rPr>
          <w:rFonts w:ascii="Arial" w:cs="Arial" w:eastAsia="Arial" w:hAnsi="Arial"/>
          <w:b/>
          <w:bCs/>
          <w:color w:val="243C65"/>
          <w:sz w:val="28"/>
          <w:szCs w:val="28"/>
        </w:rPr>
        <w:t xml:space="preserve">Section 4 — The Bigger Picture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OUR PLATFORM</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Shared Leadership, Specialized Execution</w:t>
      </w:r>
    </w:p>
    <w:p>
      <w:pPr>
        <w:spacing w:after="60" w:before="200"/>
      </w:pPr>
      <w:r>
        <w:rPr>
          <w:rFonts w:ascii="Arial" w:cs="Arial" w:eastAsia="Arial" w:hAnsi="Arial"/>
          <w:b/>
          <w:bCs/>
          <w:color w:val="E33722"/>
          <w:spacing w:val="30"/>
          <w:sz w:val="18"/>
          <w:szCs w:val="18"/>
        </w:rPr>
        <w:t xml:space="preserve">BODY</w:t>
      </w:r>
    </w:p>
    <w:p>
      <w:pPr>
        <w:spacing w:after="120"/>
      </w:pPr>
      <w:r>
        <w:rPr>
          <w:rFonts w:ascii="Arial" w:cs="Arial" w:eastAsia="Arial" w:hAnsi="Arial"/>
          <w:color w:val="1A1A1A"/>
          <w:sz w:val="22"/>
          <w:szCs w:val="22"/>
        </w:rPr>
        <w:t xml:space="preserve">Techtifai and EXPND are distinct companies built under the same broader leadership platform.</w:t>
      </w:r>
    </w:p>
    <w:p>
      <w:pPr>
        <w:spacing w:after="120"/>
      </w:pPr>
      <w:r>
        <w:rPr>
          <w:rFonts w:ascii="Arial" w:cs="Arial" w:eastAsia="Arial" w:hAnsi="Arial"/>
          <w:color w:val="1A1A1A"/>
          <w:sz w:val="22"/>
          <w:szCs w:val="22"/>
        </w:rPr>
        <w:t xml:space="preserve">Both founded in 2025, in their early commercial phase, and designed to scale across Egypt and the GCC through execution-led models.</w:t>
      </w:r>
    </w:p>
    <w:p>
      <w:pPr>
        <w:pStyle w:val="Heading2"/>
        <w:spacing w:after="140" w:before="280"/>
      </w:pPr>
      <w:r>
        <w:rPr>
          <w:rFonts w:ascii="Arial" w:cs="Arial" w:eastAsia="Arial" w:hAnsi="Arial"/>
          <w:b/>
          <w:bCs/>
          <w:color w:val="243C65"/>
          <w:sz w:val="28"/>
          <w:szCs w:val="28"/>
        </w:rPr>
        <w:t xml:space="preserve">Section 5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Ready to meet the team behind Techtifai?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Meet The Team</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/team</w:t>
            </w:r>
          </w:p>
        </w:tc>
      </w:tr>
    </w:tbl>
    <w:p>
      <w:pPr>
        <w:pStyle w:val="Heading1"/>
        <w:pageBreakBefore/>
        <w:spacing w:after="240" w:before="200"/>
      </w:pPr>
      <w:r>
        <w:rPr>
          <w:rFonts w:ascii="Arial" w:cs="Arial" w:eastAsia="Arial" w:hAnsi="Arial"/>
          <w:b/>
          <w:bCs/>
          <w:color w:val="243C65"/>
          <w:sz w:val="40"/>
          <w:szCs w:val="40"/>
        </w:rPr>
        <w:t xml:space="preserve">03 —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Services | Software, AI &amp; Connectivity Solutions | Techtifai</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From customer engagement platforms and AI tools to enterprise networking and 5G connectivity — Techtifai delivers integrated technology solutions under one accountable partner.</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software development, AI tools, connectivity infrastructure, enterprise networking, 5G, IoT, system integration</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Everything Needed to Modernize — Under One Roof</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Both software and connectivity layers are designed to work as one integrated system — delivered, configured, and supported by a single partner.</w:t>
      </w:r>
    </w:p>
    <w:p>
      <w:pPr>
        <w:pStyle w:val="Heading2"/>
        <w:spacing w:after="140" w:before="280"/>
      </w:pPr>
      <w:r>
        <w:rPr>
          <w:rFonts w:ascii="Arial" w:cs="Arial" w:eastAsia="Arial" w:hAnsi="Arial"/>
          <w:b/>
          <w:bCs/>
          <w:color w:val="243C65"/>
          <w:sz w:val="28"/>
          <w:szCs w:val="28"/>
        </w:rPr>
        <w:t xml:space="preserve">Section 1 — The Two Layers</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Two Layers. One Integrated Outcome.</w:t>
      </w:r>
    </w:p>
    <w:p>
      <w:pPr>
        <w:pStyle w:val="Heading3"/>
        <w:spacing w:after="100" w:before="200"/>
      </w:pPr>
      <w:r>
        <w:rPr>
          <w:rFonts w:ascii="Arial" w:cs="Arial" w:eastAsia="Arial" w:hAnsi="Arial"/>
          <w:b/>
          <w:bCs/>
          <w:color w:val="156082"/>
          <w:sz w:val="24"/>
          <w:szCs w:val="24"/>
        </w:rPr>
        <w:t xml:space="preserve">Layer 1 — Software &amp; Digital</w:t>
      </w:r>
    </w:p>
    <w:p>
      <w:pPr>
        <w:spacing w:after="60" w:before="200"/>
      </w:pPr>
      <w:r>
        <w:rPr>
          <w:rFonts w:ascii="Arial" w:cs="Arial" w:eastAsia="Arial" w:hAnsi="Arial"/>
          <w:b/>
          <w:bCs/>
          <w:color w:val="E33722"/>
          <w:spacing w:val="30"/>
          <w:sz w:val="18"/>
          <w:szCs w:val="18"/>
        </w:rPr>
        <w:t xml:space="preserve">DESCRIPTION</w:t>
      </w:r>
    </w:p>
    <w:p>
      <w:pPr>
        <w:spacing w:after="120"/>
      </w:pPr>
      <w:r>
        <w:rPr>
          <w:rFonts w:ascii="Arial" w:cs="Arial" w:eastAsia="Arial" w:hAnsi="Arial"/>
          <w:color w:val="1A1A1A"/>
          <w:sz w:val="22"/>
          <w:szCs w:val="22"/>
        </w:rPr>
        <w:t xml:space="preserve">Delivering customer engagement platforms, AI-powered communication tools, custom software development, and system integration/automation.</w:t>
      </w:r>
    </w:p>
    <w:p>
      <w:pPr>
        <w:spacing w:after="60" w:before="200"/>
      </w:pPr>
      <w:r>
        <w:rPr>
          <w:rFonts w:ascii="Arial" w:cs="Arial" w:eastAsia="Arial" w:hAnsi="Arial"/>
          <w:b/>
          <w:bCs/>
          <w:color w:val="E33722"/>
          <w:spacing w:val="30"/>
          <w:sz w:val="18"/>
          <w:szCs w:val="18"/>
        </w:rPr>
        <w:t xml:space="preserve">SUB-SERVICES (4 ITEMS)</w:t>
      </w:r>
    </w:p>
    <w:p>
      <w:pPr>
        <w:pStyle w:val="ListParagraph"/>
        <w:numPr>
          <w:ilvl w:val="0"/>
          <w:numId w:val="2"/>
        </w:numPr>
        <w:spacing w:after="80"/>
      </w:pPr>
      <w:r>
        <w:rPr>
          <w:rFonts w:ascii="Arial" w:cs="Arial" w:eastAsia="Arial" w:hAnsi="Arial"/>
          <w:color w:val="1A1A1A"/>
          <w:sz w:val="22"/>
          <w:szCs w:val="22"/>
        </w:rPr>
        <w:t xml:space="preserve">Customer engagement platforms</w:t>
      </w:r>
    </w:p>
    <w:p>
      <w:pPr>
        <w:pStyle w:val="ListParagraph"/>
        <w:numPr>
          <w:ilvl w:val="0"/>
          <w:numId w:val="2"/>
        </w:numPr>
        <w:spacing w:after="80"/>
      </w:pPr>
      <w:r>
        <w:rPr>
          <w:rFonts w:ascii="Arial" w:cs="Arial" w:eastAsia="Arial" w:hAnsi="Arial"/>
          <w:color w:val="1A1A1A"/>
          <w:sz w:val="22"/>
          <w:szCs w:val="22"/>
        </w:rPr>
        <w:t xml:space="preserve">AI-powered communication tools</w:t>
      </w:r>
    </w:p>
    <w:p>
      <w:pPr>
        <w:pStyle w:val="ListParagraph"/>
        <w:numPr>
          <w:ilvl w:val="0"/>
          <w:numId w:val="2"/>
        </w:numPr>
        <w:spacing w:after="80"/>
      </w:pPr>
      <w:r>
        <w:rPr>
          <w:rFonts w:ascii="Arial" w:cs="Arial" w:eastAsia="Arial" w:hAnsi="Arial"/>
          <w:color w:val="1A1A1A"/>
          <w:sz w:val="22"/>
          <w:szCs w:val="22"/>
        </w:rPr>
        <w:t xml:space="preserve">Custom software development</w:t>
      </w:r>
    </w:p>
    <w:p>
      <w:pPr>
        <w:pStyle w:val="ListParagraph"/>
        <w:numPr>
          <w:ilvl w:val="0"/>
          <w:numId w:val="2"/>
        </w:numPr>
        <w:spacing w:after="80"/>
      </w:pPr>
      <w:r>
        <w:rPr>
          <w:rFonts w:ascii="Arial" w:cs="Arial" w:eastAsia="Arial" w:hAnsi="Arial"/>
          <w:color w:val="1A1A1A"/>
          <w:sz w:val="22"/>
          <w:szCs w:val="22"/>
        </w:rPr>
        <w:t xml:space="preserve">System integration and automation</w:t>
      </w:r>
    </w:p>
    <w:p>
      <w:pPr>
        <w:pStyle w:val="Heading3"/>
        <w:spacing w:after="100" w:before="200"/>
      </w:pPr>
      <w:r>
        <w:rPr>
          <w:rFonts w:ascii="Arial" w:cs="Arial" w:eastAsia="Arial" w:hAnsi="Arial"/>
          <w:b/>
          <w:bCs/>
          <w:color w:val="156082"/>
          <w:sz w:val="24"/>
          <w:szCs w:val="24"/>
        </w:rPr>
        <w:t xml:space="preserve">Layer 2 — Connectivity &amp; Infrastructure</w:t>
      </w:r>
    </w:p>
    <w:p>
      <w:pPr>
        <w:spacing w:after="60" w:before="200"/>
      </w:pPr>
      <w:r>
        <w:rPr>
          <w:rFonts w:ascii="Arial" w:cs="Arial" w:eastAsia="Arial" w:hAnsi="Arial"/>
          <w:b/>
          <w:bCs/>
          <w:color w:val="E33722"/>
          <w:spacing w:val="30"/>
          <w:sz w:val="18"/>
          <w:szCs w:val="18"/>
        </w:rPr>
        <w:t xml:space="preserve">DESCRIPTION</w:t>
      </w:r>
    </w:p>
    <w:p>
      <w:pPr>
        <w:spacing w:after="120"/>
      </w:pPr>
      <w:r>
        <w:rPr>
          <w:rFonts w:ascii="Arial" w:cs="Arial" w:eastAsia="Arial" w:hAnsi="Arial"/>
          <w:color w:val="1A1A1A"/>
          <w:sz w:val="22"/>
          <w:szCs w:val="22"/>
        </w:rPr>
        <w:t xml:space="preserve">Delivering networking devices (routers, ONTs, LTE/5G), telecom equipment, and enterprise connectivity solutions.</w:t>
      </w:r>
    </w:p>
    <w:p>
      <w:pPr>
        <w:spacing w:after="60" w:before="200"/>
      </w:pPr>
      <w:r>
        <w:rPr>
          <w:rFonts w:ascii="Arial" w:cs="Arial" w:eastAsia="Arial" w:hAnsi="Arial"/>
          <w:b/>
          <w:bCs/>
          <w:color w:val="E33722"/>
          <w:spacing w:val="30"/>
          <w:sz w:val="18"/>
          <w:szCs w:val="18"/>
        </w:rPr>
        <w:t xml:space="preserve">SUB-SERVICES (8 ITEMS)</w:t>
      </w:r>
    </w:p>
    <w:p>
      <w:pPr>
        <w:pStyle w:val="ListParagraph"/>
        <w:numPr>
          <w:ilvl w:val="0"/>
          <w:numId w:val="2"/>
        </w:numPr>
        <w:spacing w:after="80"/>
      </w:pPr>
      <w:r>
        <w:rPr>
          <w:rFonts w:ascii="Arial" w:cs="Arial" w:eastAsia="Arial" w:hAnsi="Arial"/>
          <w:color w:val="1A1A1A"/>
          <w:sz w:val="22"/>
          <w:szCs w:val="22"/>
        </w:rPr>
        <w:t xml:space="preserve">CPE / VDSL / GPON ONT routers</w:t>
      </w:r>
    </w:p>
    <w:p>
      <w:pPr>
        <w:pStyle w:val="ListParagraph"/>
        <w:numPr>
          <w:ilvl w:val="0"/>
          <w:numId w:val="2"/>
        </w:numPr>
        <w:spacing w:after="80"/>
      </w:pPr>
      <w:r>
        <w:rPr>
          <w:rFonts w:ascii="Arial" w:cs="Arial" w:eastAsia="Arial" w:hAnsi="Arial"/>
          <w:color w:val="1A1A1A"/>
          <w:sz w:val="22"/>
          <w:szCs w:val="22"/>
        </w:rPr>
        <w:t xml:space="preserve">Wi-Fi 6 AX3000 access points</w:t>
      </w:r>
    </w:p>
    <w:p>
      <w:pPr>
        <w:pStyle w:val="ListParagraph"/>
        <w:numPr>
          <w:ilvl w:val="0"/>
          <w:numId w:val="2"/>
        </w:numPr>
        <w:spacing w:after="80"/>
      </w:pPr>
      <w:r>
        <w:rPr>
          <w:rFonts w:ascii="Arial" w:cs="Arial" w:eastAsia="Arial" w:hAnsi="Arial"/>
          <w:color w:val="1A1A1A"/>
          <w:sz w:val="22"/>
          <w:szCs w:val="22"/>
        </w:rPr>
        <w:t xml:space="preserve">FWA LTE Cat 6 and 5G routers</w:t>
      </w:r>
    </w:p>
    <w:p>
      <w:pPr>
        <w:pStyle w:val="ListParagraph"/>
        <w:numPr>
          <w:ilvl w:val="0"/>
          <w:numId w:val="2"/>
        </w:numPr>
        <w:spacing w:after="80"/>
      </w:pPr>
      <w:r>
        <w:rPr>
          <w:rFonts w:ascii="Arial" w:cs="Arial" w:eastAsia="Arial" w:hAnsi="Arial"/>
          <w:color w:val="1A1A1A"/>
          <w:sz w:val="22"/>
          <w:szCs w:val="22"/>
        </w:rPr>
        <w:t xml:space="preserve">IoT gateways</w:t>
      </w:r>
    </w:p>
    <w:p>
      <w:pPr>
        <w:pStyle w:val="ListParagraph"/>
        <w:numPr>
          <w:ilvl w:val="0"/>
          <w:numId w:val="2"/>
        </w:numPr>
        <w:spacing w:after="80"/>
      </w:pPr>
      <w:r>
        <w:rPr>
          <w:rFonts w:ascii="Arial" w:cs="Arial" w:eastAsia="Arial" w:hAnsi="Arial"/>
          <w:color w:val="1A1A1A"/>
          <w:sz w:val="22"/>
          <w:szCs w:val="22"/>
        </w:rPr>
        <w:t xml:space="preserve">Payment terminal connectivity</w:t>
      </w:r>
    </w:p>
    <w:p>
      <w:pPr>
        <w:pStyle w:val="ListParagraph"/>
        <w:numPr>
          <w:ilvl w:val="0"/>
          <w:numId w:val="2"/>
        </w:numPr>
        <w:spacing w:after="80"/>
      </w:pPr>
      <w:r>
        <w:rPr>
          <w:rFonts w:ascii="Arial" w:cs="Arial" w:eastAsia="Arial" w:hAnsi="Arial"/>
          <w:color w:val="1A1A1A"/>
          <w:sz w:val="22"/>
          <w:szCs w:val="22"/>
        </w:rPr>
        <w:t xml:space="preserve">Enterprise networking</w:t>
      </w:r>
    </w:p>
    <w:p>
      <w:pPr>
        <w:pStyle w:val="ListParagraph"/>
        <w:numPr>
          <w:ilvl w:val="0"/>
          <w:numId w:val="2"/>
        </w:numPr>
        <w:spacing w:after="80"/>
      </w:pPr>
      <w:r>
        <w:rPr>
          <w:rFonts w:ascii="Arial" w:cs="Arial" w:eastAsia="Arial" w:hAnsi="Arial"/>
          <w:color w:val="1A1A1A"/>
          <w:sz w:val="22"/>
          <w:szCs w:val="22"/>
        </w:rPr>
        <w:t xml:space="preserve">Telecom equipment</w:t>
      </w:r>
    </w:p>
    <w:p>
      <w:pPr>
        <w:pStyle w:val="ListParagraph"/>
        <w:numPr>
          <w:ilvl w:val="0"/>
          <w:numId w:val="2"/>
        </w:numPr>
        <w:spacing w:after="80"/>
      </w:pPr>
      <w:r>
        <w:rPr>
          <w:rFonts w:ascii="Arial" w:cs="Arial" w:eastAsia="Arial" w:hAnsi="Arial"/>
          <w:color w:val="1A1A1A"/>
          <w:sz w:val="22"/>
          <w:szCs w:val="22"/>
        </w:rPr>
        <w:t xml:space="preserve">Networking hardware</w:t>
      </w:r>
    </w:p>
    <w:p>
      <w:pPr>
        <w:pStyle w:val="Heading2"/>
        <w:spacing w:after="140" w:before="280"/>
      </w:pPr>
      <w:r>
        <w:rPr>
          <w:rFonts w:ascii="Arial" w:cs="Arial" w:eastAsia="Arial" w:hAnsi="Arial"/>
          <w:b/>
          <w:bCs/>
          <w:color w:val="243C65"/>
          <w:sz w:val="28"/>
          <w:szCs w:val="28"/>
        </w:rPr>
        <w:t xml:space="preserve">Section 2 — How We Engage</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Start Anywhere. Scale Into Everything.</w:t>
      </w:r>
    </w:p>
    <w:p>
      <w:pPr>
        <w:pStyle w:val="Heading3"/>
        <w:spacing w:after="100" w:before="200"/>
      </w:pPr>
      <w:r>
        <w:rPr>
          <w:rFonts w:ascii="Arial" w:cs="Arial" w:eastAsia="Arial" w:hAnsi="Arial"/>
          <w:b/>
          <w:bCs/>
          <w:color w:val="156082"/>
          <w:sz w:val="24"/>
          <w:szCs w:val="24"/>
        </w:rPr>
        <w:t xml:space="preserve">End-to-End Transformation</w:t>
      </w:r>
    </w:p>
    <w:p>
      <w:pPr>
        <w:spacing w:after="120"/>
      </w:pPr>
      <w:r>
        <w:rPr>
          <w:rFonts w:ascii="Arial" w:cs="Arial" w:eastAsia="Arial" w:hAnsi="Arial"/>
          <w:color w:val="1A1A1A"/>
          <w:sz w:val="22"/>
          <w:szCs w:val="22"/>
        </w:rPr>
        <w:t xml:space="preserve">Needs assessment, solution design, bundled proposal, implementation, integration testing, go-live, and ongoing managed services.</w:t>
      </w:r>
    </w:p>
    <w:p>
      <w:pPr>
        <w:pStyle w:val="Heading3"/>
        <w:spacing w:after="100" w:before="200"/>
      </w:pPr>
      <w:r>
        <w:rPr>
          <w:rFonts w:ascii="Arial" w:cs="Arial" w:eastAsia="Arial" w:hAnsi="Arial"/>
          <w:b/>
          <w:bCs/>
          <w:color w:val="156082"/>
          <w:sz w:val="24"/>
          <w:szCs w:val="24"/>
        </w:rPr>
        <w:t xml:space="preserve">Specific Need Delivery</w:t>
      </w:r>
    </w:p>
    <w:p>
      <w:pPr>
        <w:spacing w:after="120"/>
      </w:pPr>
      <w:r>
        <w:rPr>
          <w:rFonts w:ascii="Arial" w:cs="Arial" w:eastAsia="Arial" w:hAnsi="Arial"/>
          <w:color w:val="1A1A1A"/>
          <w:sz w:val="22"/>
          <w:szCs w:val="22"/>
        </w:rPr>
        <w:t xml:space="preserve">Providing specific AI tools, connectivity devices, or digital platforms — matched, delivered, configured, and supported.</w:t>
      </w:r>
    </w:p>
    <w:p>
      <w:pPr>
        <w:pStyle w:val="Heading3"/>
        <w:spacing w:after="100" w:before="200"/>
      </w:pPr>
      <w:r>
        <w:rPr>
          <w:rFonts w:ascii="Arial" w:cs="Arial" w:eastAsia="Arial" w:hAnsi="Arial"/>
          <w:b/>
          <w:bCs/>
          <w:color w:val="156082"/>
          <w:sz w:val="24"/>
          <w:szCs w:val="24"/>
        </w:rPr>
        <w:t xml:space="preserve">Why Both Options Matter</w:t>
      </w:r>
    </w:p>
    <w:p>
      <w:pPr>
        <w:spacing w:after="120"/>
      </w:pPr>
      <w:r>
        <w:rPr>
          <w:rFonts w:ascii="Arial" w:cs="Arial" w:eastAsia="Arial" w:hAnsi="Arial"/>
          <w:color w:val="1A1A1A"/>
          <w:sz w:val="22"/>
          <w:szCs w:val="22"/>
        </w:rPr>
        <w:t xml:space="preserve">This start-anywhere approach lowers barriers to entry and creates a natural path toward full digital integration over time.</w:t>
      </w:r>
    </w:p>
    <w:p>
      <w:pPr>
        <w:pStyle w:val="Heading2"/>
        <w:spacing w:after="140" w:before="280"/>
      </w:pPr>
      <w:r>
        <w:rPr>
          <w:rFonts w:ascii="Arial" w:cs="Arial" w:eastAsia="Arial" w:hAnsi="Arial"/>
          <w:b/>
          <w:bCs/>
          <w:color w:val="243C65"/>
          <w:sz w:val="28"/>
          <w:szCs w:val="28"/>
        </w:rPr>
        <w:t xml:space="preserve">Section 3 — Engagement Models</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ENGAGEMENT MODELS</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Flexible Engagement. One Integrated Offering.</w:t>
      </w:r>
    </w:p>
    <w:p>
      <w:pPr>
        <w:pStyle w:val="Heading3"/>
        <w:spacing w:after="100" w:before="200"/>
      </w:pPr>
      <w:r>
        <w:rPr>
          <w:rFonts w:ascii="Arial" w:cs="Arial" w:eastAsia="Arial" w:hAnsi="Arial"/>
          <w:b/>
          <w:bCs/>
          <w:color w:val="156082"/>
          <w:sz w:val="24"/>
          <w:szCs w:val="24"/>
        </w:rPr>
        <w:t xml:space="preserve">Project-Based Implementation</w:t>
      </w:r>
    </w:p>
    <w:p>
      <w:pPr>
        <w:spacing w:after="120"/>
      </w:pPr>
      <w:r>
        <w:rPr>
          <w:rFonts w:ascii="Arial" w:cs="Arial" w:eastAsia="Arial" w:hAnsi="Arial"/>
          <w:color w:val="1A1A1A"/>
          <w:sz w:val="22"/>
          <w:szCs w:val="22"/>
        </w:rPr>
        <w:t xml:space="preserve">One-time delivery of integrated technology projects with a clear scope, timeline, and deliverables.</w:t>
      </w:r>
    </w:p>
    <w:p>
      <w:pPr>
        <w:pStyle w:val="Heading3"/>
        <w:spacing w:after="100" w:before="200"/>
      </w:pPr>
      <w:r>
        <w:rPr>
          <w:rFonts w:ascii="Arial" w:cs="Arial" w:eastAsia="Arial" w:hAnsi="Arial"/>
          <w:b/>
          <w:bCs/>
          <w:color w:val="156082"/>
          <w:sz w:val="24"/>
          <w:szCs w:val="24"/>
        </w:rPr>
        <w:t xml:space="preserve">Bundled Solutions</w:t>
      </w:r>
    </w:p>
    <w:p>
      <w:pPr>
        <w:spacing w:after="120"/>
      </w:pPr>
      <w:r>
        <w:rPr>
          <w:rFonts w:ascii="Arial" w:cs="Arial" w:eastAsia="Arial" w:hAnsi="Arial"/>
          <w:color w:val="1A1A1A"/>
          <w:sz w:val="22"/>
          <w:szCs w:val="22"/>
        </w:rPr>
        <w:t xml:space="preserve">Software and infrastructure delivered together as a single integrated package — built around your specific transformation goal.</w:t>
      </w:r>
    </w:p>
    <w:p>
      <w:pPr>
        <w:pStyle w:val="Heading3"/>
        <w:spacing w:after="100" w:before="200"/>
      </w:pPr>
      <w:r>
        <w:rPr>
          <w:rFonts w:ascii="Arial" w:cs="Arial" w:eastAsia="Arial" w:hAnsi="Arial"/>
          <w:b/>
          <w:bCs/>
          <w:color w:val="156082"/>
          <w:sz w:val="24"/>
          <w:szCs w:val="24"/>
        </w:rPr>
        <w:t xml:space="preserve">Subscription &amp; Managed Services</w:t>
      </w:r>
    </w:p>
    <w:p>
      <w:pPr>
        <w:spacing w:after="120"/>
      </w:pPr>
      <w:r>
        <w:rPr>
          <w:rFonts w:ascii="Arial" w:cs="Arial" w:eastAsia="Arial" w:hAnsi="Arial"/>
          <w:color w:val="1A1A1A"/>
          <w:sz w:val="22"/>
          <w:szCs w:val="22"/>
        </w:rPr>
        <w:t xml:space="preserve">Ongoing technical support, maintenance, and managed services for clients who want a long-term partner.</w:t>
      </w:r>
    </w:p>
    <w:p>
      <w:pPr>
        <w:pStyle w:val="Heading3"/>
        <w:spacing w:after="100" w:before="200"/>
      </w:pPr>
      <w:r>
        <w:rPr>
          <w:rFonts w:ascii="Arial" w:cs="Arial" w:eastAsia="Arial" w:hAnsi="Arial"/>
          <w:b/>
          <w:bCs/>
          <w:color w:val="156082"/>
          <w:sz w:val="24"/>
          <w:szCs w:val="24"/>
        </w:rPr>
        <w:t xml:space="preserve">Standalone Solutions</w:t>
      </w:r>
    </w:p>
    <w:p>
      <w:pPr>
        <w:spacing w:after="120"/>
      </w:pPr>
      <w:r>
        <w:rPr>
          <w:rFonts w:ascii="Arial" w:cs="Arial" w:eastAsia="Arial" w:hAnsi="Arial"/>
          <w:color w:val="1A1A1A"/>
          <w:sz w:val="22"/>
          <w:szCs w:val="22"/>
        </w:rPr>
        <w:t xml:space="preserve">Specific products or capabilities delivered, configured, and supported — for clients who need to start with a focused need.</w:t>
      </w:r>
    </w:p>
    <w:p>
      <w:pPr>
        <w:pStyle w:val="Heading2"/>
        <w:spacing w:after="140" w:before="280"/>
      </w:pPr>
      <w:r>
        <w:rPr>
          <w:rFonts w:ascii="Arial" w:cs="Arial" w:eastAsia="Arial" w:hAnsi="Arial"/>
          <w:b/>
          <w:bCs/>
          <w:color w:val="243C65"/>
          <w:sz w:val="28"/>
          <w:szCs w:val="28"/>
        </w:rPr>
        <w:t xml:space="preserve">Section 4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Not sure which engagement model fits? Let's talk.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Talk to Our Team</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1"/>
        <w:pageBreakBefore/>
        <w:spacing w:after="240" w:before="200"/>
      </w:pPr>
      <w:r>
        <w:rPr>
          <w:rFonts w:ascii="Arial" w:cs="Arial" w:eastAsia="Arial" w:hAnsi="Arial"/>
          <w:b/>
          <w:bCs/>
          <w:color w:val="243C65"/>
          <w:sz w:val="40"/>
          <w:szCs w:val="40"/>
        </w:rPr>
        <w:t xml:space="preserve">04 —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Capabilities | What Techtifai Delivers | Full-Stack Technology</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From AI-powered customer experience to enterprise digital platforms and connectivity infrastructure — explore Techtifai's full capability set across four core areas.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AI customer experience, generative AI, smart connectivity, enterprise digital platforms, connectivity hardware, technology capabilities</w:t>
            </w:r>
          </w:p>
        </w:tc>
      </w:tr>
    </w:tbl>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IMPORTANT — content framing: This page presents Techtifai's capability areas using industry-standard benchmarks rather than naming specific client deployments. Specific client case studies, named partners, and verifiable outcomes are reserved for sales conversations and the Case Studies page (where named, verified Techtifai-delivered work appears). This protects credibility and avoids overstating a 2025-founded company's direct delivery history. All numbers below are presented as "capability benchmarks" — what these solutions are designed to achieve — not as claimed Techtifai deliverables.</w:t>
      </w:r>
    </w:p>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What We Deliver</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Techtifai delivers integrated, end-to-end technology solutions across five capability areas — combining software, AI, connectivity, and infrastructure into one accountable engagement.</w:t>
      </w:r>
    </w:p>
    <w:p>
      <w:pPr>
        <w:spacing w:after="60" w:before="200"/>
      </w:pPr>
      <w:r>
        <w:rPr>
          <w:rFonts w:ascii="Arial" w:cs="Arial" w:eastAsia="Arial" w:hAnsi="Arial"/>
          <w:b/>
          <w:bCs/>
          <w:color w:val="E33722"/>
          <w:spacing w:val="30"/>
          <w:sz w:val="18"/>
          <w:szCs w:val="18"/>
        </w:rPr>
        <w:t xml:space="preserv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Discuss Your Project</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2"/>
        <w:spacing w:after="140" w:before="280"/>
      </w:pPr>
      <w:r>
        <w:rPr>
          <w:rFonts w:ascii="Arial" w:cs="Arial" w:eastAsia="Arial" w:hAnsi="Arial"/>
          <w:b/>
          <w:bCs/>
          <w:color w:val="243C65"/>
          <w:sz w:val="28"/>
          <w:szCs w:val="28"/>
        </w:rPr>
        <w:t xml:space="preserve">Section 1 — Capability Overview</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OUR CAPABILITIES</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Five Areas. One Integrated Stack.</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Each capability area is engineered to integrate with the others — so clients can adopt one, several, or the full stack without managing handoffs between providers.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Recommended layout: 5-card grid (or 2x3 with one prominent featured card) — each card links to its detailed section below or to its own anchor on this page.</w:t>
      </w:r>
    </w:p>
    <w:p>
      <w:pPr>
        <w:pStyle w:val="Heading2"/>
        <w:spacing w:after="140" w:before="280"/>
      </w:pPr>
      <w:r>
        <w:rPr>
          <w:rFonts w:ascii="Arial" w:cs="Arial" w:eastAsia="Arial" w:hAnsi="Arial"/>
          <w:b/>
          <w:bCs/>
          <w:color w:val="243C65"/>
          <w:sz w:val="28"/>
          <w:szCs w:val="28"/>
        </w:rPr>
        <w:t xml:space="preserve">Section 2 — AI-Powered Customer Experience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CAPABILITY 01</w:t>
      </w:r>
    </w:p>
    <w:p>
      <w:pPr>
        <w:spacing w:after="60" w:before="200"/>
      </w:pPr>
      <w:r>
        <w:rPr>
          <w:rFonts w:ascii="Arial" w:cs="Arial" w:eastAsia="Arial" w:hAnsi="Arial"/>
          <w:b/>
          <w:bCs/>
          <w:color w:val="E33722"/>
          <w:spacing w:val="30"/>
          <w:sz w:val="18"/>
          <w:szCs w:val="18"/>
        </w:rPr>
        <w:t xml:space="preserve">SECTION HEADLINE (H3)</w:t>
      </w:r>
    </w:p>
    <w:p>
      <w:pPr>
        <w:spacing w:after="120"/>
      </w:pPr>
      <w:r>
        <w:rPr>
          <w:rFonts w:ascii="Arial" w:cs="Arial" w:eastAsia="Arial" w:hAnsi="Arial"/>
          <w:b/>
          <w:bCs/>
          <w:color w:val="1A1A1A"/>
          <w:sz w:val="22"/>
          <w:szCs w:val="22"/>
        </w:rPr>
        <w:t xml:space="preserve">Unified, Intelligent Customer Engagement</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Our customer engagement solutions help enterprises transform how they interact with customers across digital channels — unifying WhatsApp, Instagram, Facebook, email, and SMS into a single intelligent workspace powered by AI.</w:t>
      </w:r>
    </w:p>
    <w:p>
      <w:pPr>
        <w:spacing w:after="60" w:before="200"/>
      </w:pPr>
      <w:r>
        <w:rPr>
          <w:rFonts w:ascii="Arial" w:cs="Arial" w:eastAsia="Arial" w:hAnsi="Arial"/>
          <w:b/>
          <w:bCs/>
          <w:color w:val="E33722"/>
          <w:spacing w:val="30"/>
          <w:sz w:val="18"/>
          <w:szCs w:val="18"/>
        </w:rPr>
        <w:t xml:space="preserve">CAPABILITY BENCHMARKS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Frame these as "What this capability is designed to achieve" — directional benchmarks, not specific Techtifai client claims.</w:t>
      </w:r>
    </w:p>
    <w:p>
      <w:pPr>
        <w:pStyle w:val="ListParagraph"/>
        <w:numPr>
          <w:ilvl w:val="0"/>
          <w:numId w:val="2"/>
        </w:numPr>
        <w:spacing w:after="80"/>
      </w:pPr>
      <w:r>
        <w:rPr>
          <w:rFonts w:ascii="Arial" w:cs="Arial" w:eastAsia="Arial" w:hAnsi="Arial"/>
          <w:color w:val="1A1A1A"/>
          <w:sz w:val="22"/>
          <w:szCs w:val="22"/>
        </w:rPr>
        <w:t xml:space="preserve">Faster average response times — meaningful reductions in time-to-first-response across channels.</w:t>
      </w:r>
    </w:p>
    <w:p>
      <w:pPr>
        <w:pStyle w:val="ListParagraph"/>
        <w:numPr>
          <w:ilvl w:val="0"/>
          <w:numId w:val="2"/>
        </w:numPr>
        <w:spacing w:after="80"/>
      </w:pPr>
      <w:r>
        <w:rPr>
          <w:rFonts w:ascii="Arial" w:cs="Arial" w:eastAsia="Arial" w:hAnsi="Arial"/>
          <w:color w:val="1A1A1A"/>
          <w:sz w:val="22"/>
          <w:szCs w:val="22"/>
        </w:rPr>
        <w:t xml:space="preserve">High automation rates — significantly reducing manual workload for customer service teams.</w:t>
      </w:r>
    </w:p>
    <w:p>
      <w:pPr>
        <w:pStyle w:val="ListParagraph"/>
        <w:numPr>
          <w:ilvl w:val="0"/>
          <w:numId w:val="2"/>
        </w:numPr>
        <w:spacing w:after="80"/>
      </w:pPr>
      <w:r>
        <w:rPr>
          <w:rFonts w:ascii="Arial" w:cs="Arial" w:eastAsia="Arial" w:hAnsi="Arial"/>
          <w:color w:val="1A1A1A"/>
          <w:sz w:val="22"/>
          <w:szCs w:val="22"/>
        </w:rPr>
        <w:t xml:space="preserve">Recovery of abandoned ecommerce orders through intelligent re-engagement workflows.</w:t>
      </w:r>
    </w:p>
    <w:p>
      <w:pPr>
        <w:pStyle w:val="ListParagraph"/>
        <w:numPr>
          <w:ilvl w:val="0"/>
          <w:numId w:val="2"/>
        </w:numPr>
        <w:spacing w:after="80"/>
      </w:pPr>
      <w:r>
        <w:rPr>
          <w:rFonts w:ascii="Arial" w:cs="Arial" w:eastAsia="Arial" w:hAnsi="Arial"/>
          <w:color w:val="1A1A1A"/>
          <w:sz w:val="22"/>
          <w:szCs w:val="22"/>
        </w:rPr>
        <w:t xml:space="preserve">Improved customer satisfaction (CSAT) through consistent, fast, multi-channel responses.</w:t>
      </w:r>
    </w:p>
    <w:p>
      <w:pPr>
        <w:pStyle w:val="ListParagraph"/>
        <w:numPr>
          <w:ilvl w:val="0"/>
          <w:numId w:val="2"/>
        </w:numPr>
        <w:spacing w:after="80"/>
      </w:pPr>
      <w:r>
        <w:rPr>
          <w:rFonts w:ascii="Arial" w:cs="Arial" w:eastAsia="Arial" w:hAnsi="Arial"/>
          <w:color w:val="1A1A1A"/>
          <w:sz w:val="22"/>
          <w:szCs w:val="22"/>
        </w:rPr>
        <w:t xml:space="preserve">Enterprise-scale capacity — designed to handle high-volume customer engagement loads.</w:t>
      </w:r>
    </w:p>
    <w:p>
      <w:pPr>
        <w:spacing w:after="60" w:before="200"/>
      </w:pPr>
      <w:r>
        <w:rPr>
          <w:rFonts w:ascii="Arial" w:cs="Arial" w:eastAsia="Arial" w:hAnsi="Arial"/>
          <w:b/>
          <w:bCs/>
          <w:color w:val="E33722"/>
          <w:spacing w:val="30"/>
          <w:sz w:val="18"/>
          <w:szCs w:val="18"/>
        </w:rPr>
        <w:t xml:space="preserve">INDUSTRIES BEST SUITED</w:t>
      </w:r>
    </w:p>
    <w:p>
      <w:pPr>
        <w:spacing w:after="120"/>
      </w:pPr>
      <w:r>
        <w:rPr>
          <w:rFonts w:ascii="Arial" w:cs="Arial" w:eastAsia="Arial" w:hAnsi="Arial"/>
          <w:color w:val="1A1A1A"/>
          <w:sz w:val="22"/>
          <w:szCs w:val="22"/>
        </w:rPr>
        <w:t xml:space="preserve">Hospitality · Financial Services · Retail · Ecommerce</w:t>
      </w:r>
    </w:p>
    <w:p>
      <w:pPr>
        <w:pStyle w:val="Heading2"/>
        <w:spacing w:after="140" w:before="280"/>
      </w:pPr>
      <w:r>
        <w:rPr>
          <w:rFonts w:ascii="Arial" w:cs="Arial" w:eastAsia="Arial" w:hAnsi="Arial"/>
          <w:b/>
          <w:bCs/>
          <w:color w:val="243C65"/>
          <w:sz w:val="28"/>
          <w:szCs w:val="28"/>
        </w:rPr>
        <w:t xml:space="preserve">Section 3 — Generative AI &amp; Intelligent Automation</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CAPABILITY 02</w:t>
      </w:r>
    </w:p>
    <w:p>
      <w:pPr>
        <w:spacing w:after="60" w:before="200"/>
      </w:pPr>
      <w:r>
        <w:rPr>
          <w:rFonts w:ascii="Arial" w:cs="Arial" w:eastAsia="Arial" w:hAnsi="Arial"/>
          <w:b/>
          <w:bCs/>
          <w:color w:val="E33722"/>
          <w:spacing w:val="30"/>
          <w:sz w:val="18"/>
          <w:szCs w:val="18"/>
        </w:rPr>
        <w:t xml:space="preserve">SECTION HEADLINE (H3)</w:t>
      </w:r>
    </w:p>
    <w:p>
      <w:pPr>
        <w:spacing w:after="120"/>
      </w:pPr>
      <w:r>
        <w:rPr>
          <w:rFonts w:ascii="Arial" w:cs="Arial" w:eastAsia="Arial" w:hAnsi="Arial"/>
          <w:b/>
          <w:bCs/>
          <w:color w:val="1A1A1A"/>
          <w:sz w:val="22"/>
          <w:szCs w:val="22"/>
        </w:rPr>
        <w:t xml:space="preserve">AI Built for Regulated Environments</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Techtifai deploys AI agent solutions purpose-built for regulated industries — enabling clients to automate customer service, procurement, HR, and operations without compromising compliance or data security. Our AI solutions support offline deployment for environments with strict data privacy requirements.</w:t>
      </w:r>
    </w:p>
    <w:p>
      <w:pPr>
        <w:spacing w:after="60" w:before="200"/>
      </w:pPr>
      <w:r>
        <w:rPr>
          <w:rFonts w:ascii="Arial" w:cs="Arial" w:eastAsia="Arial" w:hAnsi="Arial"/>
          <w:b/>
          <w:bCs/>
          <w:color w:val="E33722"/>
          <w:spacing w:val="30"/>
          <w:sz w:val="18"/>
          <w:szCs w:val="18"/>
        </w:rPr>
        <w:t xml:space="preserve">CAPABILITY BENCHMARKS</w:t>
      </w:r>
    </w:p>
    <w:p>
      <w:pPr>
        <w:pStyle w:val="ListParagraph"/>
        <w:numPr>
          <w:ilvl w:val="0"/>
          <w:numId w:val="2"/>
        </w:numPr>
        <w:spacing w:after="80"/>
      </w:pPr>
      <w:r>
        <w:rPr>
          <w:rFonts w:ascii="Arial" w:cs="Arial" w:eastAsia="Arial" w:hAnsi="Arial"/>
          <w:color w:val="1A1A1A"/>
          <w:sz w:val="22"/>
          <w:szCs w:val="22"/>
        </w:rPr>
        <w:t xml:space="preserve">Designed to scale customer engagement from tens of thousands to millions of clients without proportional headcount increases.</w:t>
      </w:r>
    </w:p>
    <w:p>
      <w:pPr>
        <w:pStyle w:val="ListParagraph"/>
        <w:numPr>
          <w:ilvl w:val="0"/>
          <w:numId w:val="2"/>
        </w:numPr>
        <w:spacing w:after="80"/>
      </w:pPr>
      <w:r>
        <w:rPr>
          <w:rFonts w:ascii="Arial" w:cs="Arial" w:eastAsia="Arial" w:hAnsi="Arial"/>
          <w:color w:val="1A1A1A"/>
          <w:sz w:val="22"/>
          <w:szCs w:val="22"/>
        </w:rPr>
        <w:t xml:space="preserve">Capable of offloading the majority of advisor and call center workload — letting human agents focus on high-value interactions.</w:t>
      </w:r>
    </w:p>
    <w:p>
      <w:pPr>
        <w:pStyle w:val="ListParagraph"/>
        <w:numPr>
          <w:ilvl w:val="0"/>
          <w:numId w:val="2"/>
        </w:numPr>
        <w:spacing w:after="80"/>
      </w:pPr>
      <w:r>
        <w:rPr>
          <w:rFonts w:ascii="Arial" w:cs="Arial" w:eastAsia="Arial" w:hAnsi="Arial"/>
          <w:color w:val="1A1A1A"/>
          <w:sz w:val="22"/>
          <w:szCs w:val="22"/>
        </w:rPr>
        <w:t xml:space="preserve">High AI accuracy targets across deployments in financial services, government, and telecom contexts.</w:t>
      </w:r>
    </w:p>
    <w:p>
      <w:pPr>
        <w:pStyle w:val="ListParagraph"/>
        <w:numPr>
          <w:ilvl w:val="0"/>
          <w:numId w:val="2"/>
        </w:numPr>
        <w:spacing w:after="80"/>
      </w:pPr>
      <w:r>
        <w:rPr>
          <w:rFonts w:ascii="Arial" w:cs="Arial" w:eastAsia="Arial" w:hAnsi="Arial"/>
          <w:color w:val="1A1A1A"/>
          <w:sz w:val="22"/>
          <w:szCs w:val="22"/>
        </w:rPr>
        <w:t xml:space="preserve">Optimized AI architecture designed to reduce hardware requirements — making enterprise AI adoption cost-effective.</w:t>
      </w:r>
    </w:p>
    <w:p>
      <w:pPr>
        <w:pStyle w:val="ListParagraph"/>
        <w:numPr>
          <w:ilvl w:val="0"/>
          <w:numId w:val="2"/>
        </w:numPr>
        <w:spacing w:after="80"/>
      </w:pPr>
      <w:r>
        <w:rPr>
          <w:rFonts w:ascii="Arial" w:cs="Arial" w:eastAsia="Arial" w:hAnsi="Arial"/>
          <w:color w:val="1A1A1A"/>
          <w:sz w:val="22"/>
          <w:szCs w:val="22"/>
        </w:rPr>
        <w:t xml:space="preserve">Offline / on-premise deployment available for clients with strict data sovereignty requirements.</w:t>
      </w:r>
    </w:p>
    <w:p>
      <w:pPr>
        <w:spacing w:after="60" w:before="200"/>
      </w:pPr>
      <w:r>
        <w:rPr>
          <w:rFonts w:ascii="Arial" w:cs="Arial" w:eastAsia="Arial" w:hAnsi="Arial"/>
          <w:b/>
          <w:bCs/>
          <w:color w:val="E33722"/>
          <w:spacing w:val="30"/>
          <w:sz w:val="18"/>
          <w:szCs w:val="18"/>
        </w:rPr>
        <w:t xml:space="preserve">INDUSTRIES BEST SUITED</w:t>
      </w:r>
    </w:p>
    <w:p>
      <w:pPr>
        <w:spacing w:after="120"/>
      </w:pPr>
      <w:r>
        <w:rPr>
          <w:rFonts w:ascii="Arial" w:cs="Arial" w:eastAsia="Arial" w:hAnsi="Arial"/>
          <w:color w:val="1A1A1A"/>
          <w:sz w:val="22"/>
          <w:szCs w:val="22"/>
        </w:rPr>
        <w:t xml:space="preserve">Financial Institutions · Government · Telecom · Regulated Enterprise</w:t>
      </w:r>
    </w:p>
    <w:p>
      <w:pPr>
        <w:pStyle w:val="Heading2"/>
        <w:spacing w:after="140" w:before="280"/>
      </w:pPr>
      <w:r>
        <w:rPr>
          <w:rFonts w:ascii="Arial" w:cs="Arial" w:eastAsia="Arial" w:hAnsi="Arial"/>
          <w:b/>
          <w:bCs/>
          <w:color w:val="243C65"/>
          <w:sz w:val="28"/>
          <w:szCs w:val="28"/>
        </w:rPr>
        <w:t xml:space="preserve">Section 4 — Smart Connectivity &amp; Spatial Intelligence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CAPABILITY 03</w:t>
      </w:r>
    </w:p>
    <w:p>
      <w:pPr>
        <w:spacing w:after="60" w:before="200"/>
      </w:pPr>
      <w:r>
        <w:rPr>
          <w:rFonts w:ascii="Arial" w:cs="Arial" w:eastAsia="Arial" w:hAnsi="Arial"/>
          <w:b/>
          <w:bCs/>
          <w:color w:val="E33722"/>
          <w:spacing w:val="30"/>
          <w:sz w:val="18"/>
          <w:szCs w:val="18"/>
        </w:rPr>
        <w:t xml:space="preserve">SECTION HEADLINE (H3)</w:t>
      </w:r>
    </w:p>
    <w:p>
      <w:pPr>
        <w:spacing w:after="120"/>
      </w:pPr>
      <w:r>
        <w:rPr>
          <w:rFonts w:ascii="Arial" w:cs="Arial" w:eastAsia="Arial" w:hAnsi="Arial"/>
          <w:b/>
          <w:bCs/>
          <w:color w:val="1A1A1A"/>
          <w:sz w:val="22"/>
          <w:szCs w:val="22"/>
        </w:rPr>
        <w:t xml:space="preserve">Turning Physical Venues Into Data-Driven Spaces</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Techtifai transforms physical venues into data-driven, intelligent spaces using Smart WiFi infrastructure — turning existing networks into platforms for customer engagement, behavioral analytics, and digital services without requiring any app installation.</w:t>
      </w:r>
    </w:p>
    <w:p>
      <w:pPr>
        <w:spacing w:after="60" w:before="200"/>
      </w:pPr>
      <w:r>
        <w:rPr>
          <w:rFonts w:ascii="Arial" w:cs="Arial" w:eastAsia="Arial" w:hAnsi="Arial"/>
          <w:b/>
          <w:bCs/>
          <w:color w:val="E33722"/>
          <w:spacing w:val="30"/>
          <w:sz w:val="18"/>
          <w:szCs w:val="18"/>
        </w:rPr>
        <w:t xml:space="preserve">CAPABILITY BENCHMARKS</w:t>
      </w:r>
    </w:p>
    <w:p>
      <w:pPr>
        <w:pStyle w:val="ListParagraph"/>
        <w:numPr>
          <w:ilvl w:val="0"/>
          <w:numId w:val="2"/>
        </w:numPr>
        <w:spacing w:after="80"/>
      </w:pPr>
      <w:r>
        <w:rPr>
          <w:rFonts w:ascii="Arial" w:cs="Arial" w:eastAsia="Arial" w:hAnsi="Arial"/>
          <w:color w:val="1A1A1A"/>
          <w:sz w:val="22"/>
          <w:szCs w:val="22"/>
        </w:rPr>
        <w:t xml:space="preserve">Operational across hundreds of venues in Egypt, MENA, and into European markets.</w:t>
      </w:r>
    </w:p>
    <w:p>
      <w:pPr>
        <w:pStyle w:val="ListParagraph"/>
        <w:numPr>
          <w:ilvl w:val="0"/>
          <w:numId w:val="2"/>
        </w:numPr>
        <w:spacing w:after="80"/>
      </w:pPr>
      <w:r>
        <w:rPr>
          <w:rFonts w:ascii="Arial" w:cs="Arial" w:eastAsia="Arial" w:hAnsi="Arial"/>
          <w:color w:val="1A1A1A"/>
          <w:sz w:val="22"/>
          <w:szCs w:val="22"/>
        </w:rPr>
        <w:t xml:space="preserve">Thousands of WiFi access points under management.</w:t>
      </w:r>
    </w:p>
    <w:p>
      <w:pPr>
        <w:pStyle w:val="ListParagraph"/>
        <w:numPr>
          <w:ilvl w:val="0"/>
          <w:numId w:val="2"/>
        </w:numPr>
        <w:spacing w:after="80"/>
      </w:pPr>
      <w:r>
        <w:rPr>
          <w:rFonts w:ascii="Arial" w:cs="Arial" w:eastAsia="Arial" w:hAnsi="Arial"/>
          <w:color w:val="1A1A1A"/>
          <w:sz w:val="22"/>
          <w:szCs w:val="22"/>
        </w:rPr>
        <w:t xml:space="preserve">No-app architecture — customer engagement layer activates on connection, no install required.</w:t>
      </w:r>
    </w:p>
    <w:p>
      <w:pPr>
        <w:pStyle w:val="ListParagraph"/>
        <w:numPr>
          <w:ilvl w:val="0"/>
          <w:numId w:val="2"/>
        </w:numPr>
        <w:spacing w:after="80"/>
      </w:pPr>
      <w:r>
        <w:rPr>
          <w:rFonts w:ascii="Arial" w:cs="Arial" w:eastAsia="Arial" w:hAnsi="Arial"/>
          <w:color w:val="1A1A1A"/>
          <w:sz w:val="22"/>
          <w:szCs w:val="22"/>
        </w:rPr>
        <w:t xml:space="preserve">Behavioral analytics and customer intelligence built directly into the connectivity layer.</w:t>
      </w:r>
    </w:p>
    <w:p>
      <w:pPr>
        <w:pStyle w:val="ListParagraph"/>
        <w:numPr>
          <w:ilvl w:val="0"/>
          <w:numId w:val="2"/>
        </w:numPr>
        <w:spacing w:after="80"/>
      </w:pPr>
      <w:r>
        <w:rPr>
          <w:rFonts w:ascii="Arial" w:cs="Arial" w:eastAsia="Arial" w:hAnsi="Arial"/>
          <w:color w:val="1A1A1A"/>
          <w:sz w:val="22"/>
          <w:szCs w:val="22"/>
        </w:rPr>
        <w:t xml:space="preserve">Converts WiFi infrastructure from a cost center into a revenue-generating engagement platform.</w:t>
      </w:r>
    </w:p>
    <w:p>
      <w:pPr>
        <w:spacing w:after="60" w:before="200"/>
      </w:pPr>
      <w:r>
        <w:rPr>
          <w:rFonts w:ascii="Arial" w:cs="Arial" w:eastAsia="Arial" w:hAnsi="Arial"/>
          <w:b/>
          <w:bCs/>
          <w:color w:val="E33722"/>
          <w:spacing w:val="30"/>
          <w:sz w:val="18"/>
          <w:szCs w:val="18"/>
        </w:rPr>
        <w:t xml:space="preserve">INDUSTRIES BEST SUITED</w:t>
      </w:r>
    </w:p>
    <w:p>
      <w:pPr>
        <w:spacing w:after="120"/>
      </w:pPr>
      <w:r>
        <w:rPr>
          <w:rFonts w:ascii="Arial" w:cs="Arial" w:eastAsia="Arial" w:hAnsi="Arial"/>
          <w:color w:val="1A1A1A"/>
          <w:sz w:val="22"/>
          <w:szCs w:val="22"/>
        </w:rPr>
        <w:t xml:space="preserve">F&amp;B Chains · Retail · Shopping Malls · Corporate Campuses · Transport Operators</w:t>
      </w:r>
    </w:p>
    <w:p>
      <w:pPr>
        <w:pStyle w:val="Heading2"/>
        <w:spacing w:after="140" w:before="280"/>
      </w:pPr>
      <w:r>
        <w:rPr>
          <w:rFonts w:ascii="Arial" w:cs="Arial" w:eastAsia="Arial" w:hAnsi="Arial"/>
          <w:b/>
          <w:bCs/>
          <w:color w:val="243C65"/>
          <w:sz w:val="28"/>
          <w:szCs w:val="28"/>
        </w:rPr>
        <w:t xml:space="preserve">Section 5 — Enterprise Digital Platforms &amp; Custom Software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CAPABILITY 04</w:t>
      </w:r>
    </w:p>
    <w:p>
      <w:pPr>
        <w:spacing w:after="60" w:before="200"/>
      </w:pPr>
      <w:r>
        <w:rPr>
          <w:rFonts w:ascii="Arial" w:cs="Arial" w:eastAsia="Arial" w:hAnsi="Arial"/>
          <w:b/>
          <w:bCs/>
          <w:color w:val="E33722"/>
          <w:spacing w:val="30"/>
          <w:sz w:val="18"/>
          <w:szCs w:val="18"/>
        </w:rPr>
        <w:t xml:space="preserve">SECTION HEADLINE (H3)</w:t>
      </w:r>
    </w:p>
    <w:p>
      <w:pPr>
        <w:spacing w:after="120"/>
      </w:pPr>
      <w:r>
        <w:rPr>
          <w:rFonts w:ascii="Arial" w:cs="Arial" w:eastAsia="Arial" w:hAnsi="Arial"/>
          <w:b/>
          <w:bCs/>
          <w:color w:val="1A1A1A"/>
          <w:sz w:val="22"/>
          <w:szCs w:val="22"/>
        </w:rPr>
        <w:t xml:space="preserve">Custom Platforms for Complex, Regulated Environments</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Techtifai designs, builds, and deploys enterprise-grade digital platforms for complex, regulated environments across MENA, Africa, and beyond.</w:t>
      </w:r>
    </w:p>
    <w:p>
      <w:pPr>
        <w:spacing w:after="60" w:before="200"/>
      </w:pPr>
      <w:r>
        <w:rPr>
          <w:rFonts w:ascii="Arial" w:cs="Arial" w:eastAsia="Arial" w:hAnsi="Arial"/>
          <w:b/>
          <w:bCs/>
          <w:color w:val="E33722"/>
          <w:spacing w:val="30"/>
          <w:sz w:val="18"/>
          <w:szCs w:val="18"/>
        </w:rPr>
        <w:t xml:space="preserve">CAPABILITY BENCHMARKS</w:t>
      </w:r>
    </w:p>
    <w:p>
      <w:pPr>
        <w:pStyle w:val="ListParagraph"/>
        <w:numPr>
          <w:ilvl w:val="0"/>
          <w:numId w:val="2"/>
        </w:numPr>
        <w:spacing w:after="80"/>
      </w:pPr>
      <w:r>
        <w:rPr>
          <w:rFonts w:ascii="Arial" w:cs="Arial" w:eastAsia="Arial" w:hAnsi="Arial"/>
          <w:color w:val="1A1A1A"/>
          <w:sz w:val="22"/>
          <w:szCs w:val="22"/>
        </w:rPr>
        <w:t xml:space="preserve">Capability spans BNPL and employee financing platforms, super apps combining financial services, e-commerce, and electronic payments.</w:t>
      </w:r>
    </w:p>
    <w:p>
      <w:pPr>
        <w:pStyle w:val="ListParagraph"/>
        <w:numPr>
          <w:ilvl w:val="0"/>
          <w:numId w:val="2"/>
        </w:numPr>
        <w:spacing w:after="80"/>
      </w:pPr>
      <w:r>
        <w:rPr>
          <w:rFonts w:ascii="Arial" w:cs="Arial" w:eastAsia="Arial" w:hAnsi="Arial"/>
          <w:color w:val="1A1A1A"/>
          <w:sz w:val="22"/>
          <w:szCs w:val="22"/>
        </w:rPr>
        <w:t xml:space="preserve">Education technology platforms — including coding and learning platforms with government partnerships.</w:t>
      </w:r>
    </w:p>
    <w:p>
      <w:pPr>
        <w:pStyle w:val="ListParagraph"/>
        <w:numPr>
          <w:ilvl w:val="0"/>
          <w:numId w:val="2"/>
        </w:numPr>
        <w:spacing w:after="80"/>
      </w:pPr>
      <w:r>
        <w:rPr>
          <w:rFonts w:ascii="Arial" w:cs="Arial" w:eastAsia="Arial" w:hAnsi="Arial"/>
          <w:color w:val="1A1A1A"/>
          <w:sz w:val="22"/>
          <w:szCs w:val="22"/>
        </w:rPr>
        <w:t xml:space="preserve">Multi-country product launches — designed to scale across markets with localization, compliance, and regional payment integrations.</w:t>
      </w:r>
    </w:p>
    <w:p>
      <w:pPr>
        <w:pStyle w:val="ListParagraph"/>
        <w:numPr>
          <w:ilvl w:val="0"/>
          <w:numId w:val="2"/>
        </w:numPr>
        <w:spacing w:after="80"/>
      </w:pPr>
      <w:r>
        <w:rPr>
          <w:rFonts w:ascii="Arial" w:cs="Arial" w:eastAsia="Arial" w:hAnsi="Arial"/>
          <w:color w:val="1A1A1A"/>
          <w:sz w:val="22"/>
          <w:szCs w:val="22"/>
        </w:rPr>
        <w:t xml:space="preserve">Built for regulated industries — financial services, education, real estate, and enterprise sectors.</w:t>
      </w:r>
    </w:p>
    <w:p>
      <w:pPr>
        <w:pStyle w:val="ListParagraph"/>
        <w:numPr>
          <w:ilvl w:val="0"/>
          <w:numId w:val="2"/>
        </w:numPr>
        <w:spacing w:after="80"/>
      </w:pPr>
      <w:r>
        <w:rPr>
          <w:rFonts w:ascii="Arial" w:cs="Arial" w:eastAsia="Arial" w:hAnsi="Arial"/>
          <w:color w:val="1A1A1A"/>
          <w:sz w:val="22"/>
          <w:szCs w:val="22"/>
        </w:rPr>
        <w:t xml:space="preserve">Architecture designed to support tens of thousands to millions of end users.</w:t>
      </w:r>
    </w:p>
    <w:p>
      <w:pPr>
        <w:spacing w:after="60" w:before="200"/>
      </w:pPr>
      <w:r>
        <w:rPr>
          <w:rFonts w:ascii="Arial" w:cs="Arial" w:eastAsia="Arial" w:hAnsi="Arial"/>
          <w:b/>
          <w:bCs/>
          <w:color w:val="E33722"/>
          <w:spacing w:val="30"/>
          <w:sz w:val="18"/>
          <w:szCs w:val="18"/>
        </w:rPr>
        <w:t xml:space="preserve">INDUSTRIES BEST SUITED</w:t>
      </w:r>
    </w:p>
    <w:p>
      <w:pPr>
        <w:spacing w:after="120"/>
      </w:pPr>
      <w:r>
        <w:rPr>
          <w:rFonts w:ascii="Arial" w:cs="Arial" w:eastAsia="Arial" w:hAnsi="Arial"/>
          <w:color w:val="1A1A1A"/>
          <w:sz w:val="22"/>
          <w:szCs w:val="22"/>
        </w:rPr>
        <w:t xml:space="preserve">Financial Services · Education · Real Estate · Enterprise · Consumer Products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Specific named launches (e.g., named clients, named partnerships, named products) should NOT appear on this page. They belong in the Case Studies page where they are presented as named, verifiable Techtifai-delivered work, OR in 1:1 sales conversations with full context.</w:t>
      </w:r>
    </w:p>
    <w:p>
      <w:pPr>
        <w:pStyle w:val="Heading2"/>
        <w:spacing w:after="140" w:before="280"/>
      </w:pPr>
      <w:r>
        <w:rPr>
          <w:rFonts w:ascii="Arial" w:cs="Arial" w:eastAsia="Arial" w:hAnsi="Arial"/>
          <w:b/>
          <w:bCs/>
          <w:color w:val="243C65"/>
          <w:sz w:val="28"/>
          <w:szCs w:val="28"/>
        </w:rPr>
        <w:t xml:space="preserve">Section 6 — Connectivity Hardware &amp; Infrastructure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CAPABILITY 05</w:t>
      </w:r>
    </w:p>
    <w:p>
      <w:pPr>
        <w:spacing w:after="60" w:before="200"/>
      </w:pPr>
      <w:r>
        <w:rPr>
          <w:rFonts w:ascii="Arial" w:cs="Arial" w:eastAsia="Arial" w:hAnsi="Arial"/>
          <w:b/>
          <w:bCs/>
          <w:color w:val="E33722"/>
          <w:spacing w:val="30"/>
          <w:sz w:val="18"/>
          <w:szCs w:val="18"/>
        </w:rPr>
        <w:t xml:space="preserve">SECTION HEADLINE (H3)</w:t>
      </w:r>
    </w:p>
    <w:p>
      <w:pPr>
        <w:spacing w:after="120"/>
      </w:pPr>
      <w:r>
        <w:rPr>
          <w:rFonts w:ascii="Arial" w:cs="Arial" w:eastAsia="Arial" w:hAnsi="Arial"/>
          <w:b/>
          <w:bCs/>
          <w:color w:val="1A1A1A"/>
          <w:sz w:val="22"/>
          <w:szCs w:val="22"/>
        </w:rPr>
        <w:t xml:space="preserve">The Physical Layer Behind Every Transformation</w:t>
      </w:r>
    </w:p>
    <w:p>
      <w:pPr>
        <w:spacing w:after="60" w:before="200"/>
      </w:pPr>
      <w:r>
        <w:rPr>
          <w:rFonts w:ascii="Arial" w:cs="Arial" w:eastAsia="Arial" w:hAnsi="Arial"/>
          <w:b/>
          <w:bCs/>
          <w:color w:val="E33722"/>
          <w:spacing w:val="30"/>
          <w:sz w:val="18"/>
          <w:szCs w:val="18"/>
        </w:rPr>
        <w:t xml:space="preserve">SECTION BODY</w:t>
      </w:r>
    </w:p>
    <w:p>
      <w:pPr>
        <w:spacing w:after="120"/>
      </w:pPr>
      <w:r>
        <w:rPr>
          <w:rFonts w:ascii="Arial" w:cs="Arial" w:eastAsia="Arial" w:hAnsi="Arial"/>
          <w:color w:val="1A1A1A"/>
          <w:sz w:val="22"/>
          <w:szCs w:val="22"/>
        </w:rPr>
        <w:t xml:space="preserve">Techtifai supplies and deploys the physical connectivity infrastructure that underpins every digital transformation project. Our hardware range covers the full spectrum of enterprise connectivity needs — from home and office networking to large-scale telecom infrastructure.</w:t>
      </w:r>
    </w:p>
    <w:p>
      <w:pPr>
        <w:spacing w:after="60" w:before="200"/>
      </w:pPr>
      <w:r>
        <w:rPr>
          <w:rFonts w:ascii="Arial" w:cs="Arial" w:eastAsia="Arial" w:hAnsi="Arial"/>
          <w:b/>
          <w:bCs/>
          <w:color w:val="E33722"/>
          <w:spacing w:val="30"/>
          <w:sz w:val="18"/>
          <w:szCs w:val="18"/>
        </w:rPr>
        <w:t xml:space="preserve">HARDWARE RANGE (ICON LIST)</w:t>
      </w:r>
    </w:p>
    <w:p>
      <w:pPr>
        <w:pStyle w:val="ListParagraph"/>
        <w:numPr>
          <w:ilvl w:val="0"/>
          <w:numId w:val="2"/>
        </w:numPr>
        <w:spacing w:after="80"/>
      </w:pPr>
      <w:r>
        <w:rPr>
          <w:rFonts w:ascii="Arial" w:cs="Arial" w:eastAsia="Arial" w:hAnsi="Arial"/>
          <w:color w:val="1A1A1A"/>
          <w:sz w:val="22"/>
          <w:szCs w:val="22"/>
        </w:rPr>
        <w:t xml:space="preserve">CPE VDSL and GPON ONT routers (WiFi 6 / AX3000) for fiber and broadband networks.</w:t>
      </w:r>
    </w:p>
    <w:p>
      <w:pPr>
        <w:pStyle w:val="ListParagraph"/>
        <w:numPr>
          <w:ilvl w:val="0"/>
          <w:numId w:val="2"/>
        </w:numPr>
        <w:spacing w:after="80"/>
      </w:pPr>
      <w:r>
        <w:rPr>
          <w:rFonts w:ascii="Arial" w:cs="Arial" w:eastAsia="Arial" w:hAnsi="Arial"/>
          <w:color w:val="1A1A1A"/>
          <w:sz w:val="22"/>
          <w:szCs w:val="22"/>
        </w:rPr>
        <w:t xml:space="preserve">FWA LTE Cat 6 and 5G routers for fixed wireless access and mobile broadband.</w:t>
      </w:r>
    </w:p>
    <w:p>
      <w:pPr>
        <w:pStyle w:val="ListParagraph"/>
        <w:numPr>
          <w:ilvl w:val="0"/>
          <w:numId w:val="2"/>
        </w:numPr>
        <w:spacing w:after="80"/>
      </w:pPr>
      <w:r>
        <w:rPr>
          <w:rFonts w:ascii="Arial" w:cs="Arial" w:eastAsia="Arial" w:hAnsi="Arial"/>
          <w:color w:val="1A1A1A"/>
          <w:sz w:val="22"/>
          <w:szCs w:val="22"/>
        </w:rPr>
        <w:t xml:space="preserve">Enterprise networking — deployment, optimization, and ongoing management.</w:t>
      </w:r>
    </w:p>
    <w:p>
      <w:pPr>
        <w:pStyle w:val="ListParagraph"/>
        <w:numPr>
          <w:ilvl w:val="0"/>
          <w:numId w:val="2"/>
        </w:numPr>
        <w:spacing w:after="80"/>
      </w:pPr>
      <w:r>
        <w:rPr>
          <w:rFonts w:ascii="Arial" w:cs="Arial" w:eastAsia="Arial" w:hAnsi="Arial"/>
          <w:color w:val="1A1A1A"/>
          <w:sz w:val="22"/>
          <w:szCs w:val="22"/>
        </w:rPr>
        <w:t xml:space="preserve">IoT gateways for device connectivity and data exchange.</w:t>
      </w:r>
    </w:p>
    <w:p>
      <w:pPr>
        <w:pStyle w:val="ListParagraph"/>
        <w:numPr>
          <w:ilvl w:val="0"/>
          <w:numId w:val="2"/>
        </w:numPr>
        <w:spacing w:after="80"/>
      </w:pPr>
      <w:r>
        <w:rPr>
          <w:rFonts w:ascii="Arial" w:cs="Arial" w:eastAsia="Arial" w:hAnsi="Arial"/>
          <w:color w:val="1A1A1A"/>
          <w:sz w:val="22"/>
          <w:szCs w:val="22"/>
        </w:rPr>
        <w:t xml:space="preserve">Payment terminal connectivity for POS and mobile payment infrastructure.</w:t>
      </w:r>
    </w:p>
    <w:p>
      <w:pPr>
        <w:pStyle w:val="Heading2"/>
        <w:spacing w:after="140" w:before="280"/>
      </w:pPr>
      <w:r>
        <w:rPr>
          <w:rFonts w:ascii="Arial" w:cs="Arial" w:eastAsia="Arial" w:hAnsi="Arial"/>
          <w:b/>
          <w:bCs/>
          <w:color w:val="243C65"/>
          <w:sz w:val="28"/>
          <w:szCs w:val="28"/>
        </w:rPr>
        <w:t xml:space="preserve">Section 7 — Closing Statement</w:t>
      </w:r>
    </w:p>
    <w:p>
      <w:pPr>
        <w:spacing w:after="60" w:before="200"/>
      </w:pPr>
      <w:r>
        <w:rPr>
          <w:rFonts w:ascii="Arial" w:cs="Arial" w:eastAsia="Arial" w:hAnsi="Arial"/>
          <w:b/>
          <w:bCs/>
          <w:color w:val="E33722"/>
          <w:spacing w:val="30"/>
          <w:sz w:val="18"/>
          <w:szCs w:val="18"/>
        </w:rPr>
        <w:t xml:space="preserve">SECTION HEADLINE</w:t>
      </w:r>
    </w:p>
    <w:p>
      <w:pPr>
        <w:spacing w:after="120"/>
      </w:pPr>
      <w:r>
        <w:rPr>
          <w:rFonts w:ascii="Arial" w:cs="Arial" w:eastAsia="Arial" w:hAnsi="Arial"/>
          <w:b/>
          <w:bCs/>
          <w:color w:val="1A1A1A"/>
          <w:sz w:val="22"/>
          <w:szCs w:val="22"/>
        </w:rPr>
        <w:t xml:space="preserve">One Partner. Full Stack. Total Accountability.</w:t>
      </w:r>
    </w:p>
    <w:p>
      <w:pPr>
        <w:spacing w:after="60" w:before="200"/>
      </w:pPr>
      <w:r>
        <w:rPr>
          <w:rFonts w:ascii="Arial" w:cs="Arial" w:eastAsia="Arial" w:hAnsi="Arial"/>
          <w:b/>
          <w:bCs/>
          <w:color w:val="E33722"/>
          <w:spacing w:val="30"/>
          <w:sz w:val="18"/>
          <w:szCs w:val="18"/>
        </w:rPr>
        <w:t xml:space="preserve">CLOSING BODY</w:t>
      </w:r>
    </w:p>
    <w:p>
      <w:pPr>
        <w:spacing w:after="120"/>
      </w:pPr>
      <w:r>
        <w:rPr>
          <w:rFonts w:ascii="Arial" w:cs="Arial" w:eastAsia="Arial" w:hAnsi="Arial"/>
          <w:color w:val="1A1A1A"/>
          <w:sz w:val="22"/>
          <w:szCs w:val="22"/>
        </w:rPr>
        <w:t xml:space="preserve">By owning both the software and hardware layer, Techtifai gives clients a single accountable partner for their entire technology stack — eliminating the fragmentation and finger-pointing that comes from dealing with multiple vendors.</w:t>
      </w:r>
    </w:p>
    <w:p>
      <w:pPr>
        <w:pStyle w:val="Heading2"/>
        <w:spacing w:after="140" w:before="280"/>
      </w:pPr>
      <w:r>
        <w:rPr>
          <w:rFonts w:ascii="Arial" w:cs="Arial" w:eastAsia="Arial" w:hAnsi="Arial"/>
          <w:b/>
          <w:bCs/>
          <w:color w:val="243C65"/>
          <w:sz w:val="28"/>
          <w:szCs w:val="28"/>
        </w:rPr>
        <w:t xml:space="preserve">Section 8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Want to see how these capabilities apply to your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Discuss Your Project</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1"/>
        <w:pageBreakBefore/>
        <w:spacing w:after="240" w:before="200"/>
      </w:pPr>
      <w:r>
        <w:rPr>
          <w:rFonts w:ascii="Arial" w:cs="Arial" w:eastAsia="Arial" w:hAnsi="Arial"/>
          <w:b/>
          <w:bCs/>
          <w:color w:val="243C65"/>
          <w:sz w:val="40"/>
          <w:szCs w:val="40"/>
        </w:rPr>
        <w:t xml:space="preserve">05 —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Industries We Serve | Techtifai</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Techtifai serves enterprises across real estate, retail, banking, telecom, education, hospitality, and government — delivering full-stack technology where it matters most.</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industry technology, banking technology, retail technology, telecom solutions, government IT, hospitality technology, real estate technology</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Serving Complex Enterprises With Real Transformation Needs</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Enterprises undergoing digital transformation, telecom operators, ISPs, government entities, and large-scale businesses across Egypt, KSA, UAE, and Qatar.</w:t>
      </w:r>
    </w:p>
    <w:p>
      <w:pPr>
        <w:pStyle w:val="Heading2"/>
        <w:spacing w:after="140" w:before="280"/>
      </w:pPr>
      <w:r>
        <w:rPr>
          <w:rFonts w:ascii="Arial" w:cs="Arial" w:eastAsia="Arial" w:hAnsi="Arial"/>
          <w:b/>
          <w:bCs/>
          <w:color w:val="243C65"/>
          <w:sz w:val="28"/>
          <w:szCs w:val="28"/>
        </w:rPr>
        <w:t xml:space="preserve">Section 1 — Who We Serve</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TARGET CLIENTS</w:t>
      </w:r>
    </w:p>
    <w:p>
      <w:pPr>
        <w:spacing w:after="60" w:before="200"/>
      </w:pPr>
      <w:r>
        <w:rPr>
          <w:rFonts w:ascii="Arial" w:cs="Arial" w:eastAsia="Arial" w:hAnsi="Arial"/>
          <w:b/>
          <w:bCs/>
          <w:color w:val="E33722"/>
          <w:spacing w:val="30"/>
          <w:sz w:val="18"/>
          <w:szCs w:val="18"/>
        </w:rPr>
        <w:t xml:space="preserve">BODY</w:t>
      </w:r>
    </w:p>
    <w:p>
      <w:pPr>
        <w:spacing w:after="120"/>
      </w:pPr>
      <w:r>
        <w:rPr>
          <w:rFonts w:ascii="Arial" w:cs="Arial" w:eastAsia="Arial" w:hAnsi="Arial"/>
          <w:color w:val="1A1A1A"/>
          <w:sz w:val="22"/>
          <w:szCs w:val="22"/>
        </w:rPr>
        <w:t xml:space="preserve">Enterprises undergoing digital transformation, telecom operators, ISPs, government entities, and large-scale businesses.</w:t>
      </w:r>
    </w:p>
    <w:p>
      <w:pPr>
        <w:pStyle w:val="Heading2"/>
        <w:spacing w:after="140" w:before="280"/>
      </w:pPr>
      <w:r>
        <w:rPr>
          <w:rFonts w:ascii="Arial" w:cs="Arial" w:eastAsia="Arial" w:hAnsi="Arial"/>
          <w:b/>
          <w:bCs/>
          <w:color w:val="243C65"/>
          <w:sz w:val="28"/>
          <w:szCs w:val="28"/>
        </w:rPr>
        <w:t xml:space="preserve">Section 2 — Industries We Cover</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TARGET SECTORS</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Industries Where We Deliver</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Recommended layout: a 7-card grid with one industry per card. Suggested icons in parentheses below.</w:t>
      </w:r>
    </w:p>
    <w:p>
      <w:pPr>
        <w:pStyle w:val="Heading3"/>
        <w:spacing w:after="100" w:before="200"/>
      </w:pPr>
      <w:r>
        <w:rPr>
          <w:rFonts w:ascii="Arial" w:cs="Arial" w:eastAsia="Arial" w:hAnsi="Arial"/>
          <w:b/>
          <w:bCs/>
          <w:color w:val="156082"/>
          <w:sz w:val="24"/>
          <w:szCs w:val="24"/>
        </w:rPr>
        <w:t xml:space="preserve">Real Estate</w:t>
      </w:r>
    </w:p>
    <w:p>
      <w:pPr>
        <w:spacing w:after="120"/>
      </w:pPr>
      <w:r>
        <w:rPr>
          <w:rFonts w:ascii="Arial" w:cs="Arial" w:eastAsia="Arial" w:hAnsi="Arial"/>
          <w:color w:val="1A1A1A"/>
          <w:sz w:val="22"/>
          <w:szCs w:val="22"/>
        </w:rPr>
        <w:t xml:space="preserve">Connectivity, smart-building infrastructure, and digital engagement platforms for developers and property managers.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Currently serving major real estate developers across the region.</w:t>
      </w:r>
    </w:p>
    <w:p>
      <w:pPr>
        <w:pStyle w:val="Heading3"/>
        <w:spacing w:after="100" w:before="200"/>
      </w:pPr>
      <w:r>
        <w:rPr>
          <w:rFonts w:ascii="Arial" w:cs="Arial" w:eastAsia="Arial" w:hAnsi="Arial"/>
          <w:b/>
          <w:bCs/>
          <w:color w:val="156082"/>
          <w:sz w:val="24"/>
          <w:szCs w:val="24"/>
        </w:rPr>
        <w:t xml:space="preserve">Retail</w:t>
      </w:r>
    </w:p>
    <w:p>
      <w:pPr>
        <w:spacing w:after="120"/>
      </w:pPr>
      <w:r>
        <w:rPr>
          <w:rFonts w:ascii="Arial" w:cs="Arial" w:eastAsia="Arial" w:hAnsi="Arial"/>
          <w:color w:val="1A1A1A"/>
          <w:sz w:val="22"/>
          <w:szCs w:val="22"/>
        </w:rPr>
        <w:t xml:space="preserve">Enterprise Wi-Fi, captive portals, CRM integration, and digital engagement for shopper experience and customer data capture.</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Currently serving major retail chains and electronics distributors.</w:t>
      </w:r>
    </w:p>
    <w:p>
      <w:pPr>
        <w:pStyle w:val="Heading3"/>
        <w:spacing w:after="100" w:before="200"/>
      </w:pPr>
      <w:r>
        <w:rPr>
          <w:rFonts w:ascii="Arial" w:cs="Arial" w:eastAsia="Arial" w:hAnsi="Arial"/>
          <w:b/>
          <w:bCs/>
          <w:color w:val="156082"/>
          <w:sz w:val="24"/>
          <w:szCs w:val="24"/>
        </w:rPr>
        <w:t xml:space="preserve">Banking &amp; Financial Services</w:t>
      </w:r>
    </w:p>
    <w:p>
      <w:pPr>
        <w:spacing w:after="120"/>
      </w:pPr>
      <w:r>
        <w:rPr>
          <w:rFonts w:ascii="Arial" w:cs="Arial" w:eastAsia="Arial" w:hAnsi="Arial"/>
          <w:color w:val="1A1A1A"/>
          <w:sz w:val="22"/>
          <w:szCs w:val="22"/>
        </w:rPr>
        <w:t xml:space="preserve">AI-driven knowledge management, internal support systems, and integrated infrastructure for financial institutions.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Currently serving major financial groups.</w:t>
      </w:r>
    </w:p>
    <w:p>
      <w:pPr>
        <w:pStyle w:val="Heading3"/>
        <w:spacing w:after="100" w:before="200"/>
      </w:pPr>
      <w:r>
        <w:rPr>
          <w:rFonts w:ascii="Arial" w:cs="Arial" w:eastAsia="Arial" w:hAnsi="Arial"/>
          <w:b/>
          <w:bCs/>
          <w:color w:val="156082"/>
          <w:sz w:val="24"/>
          <w:szCs w:val="24"/>
        </w:rPr>
        <w:t xml:space="preserve">Telecom</w:t>
      </w:r>
    </w:p>
    <w:p>
      <w:pPr>
        <w:spacing w:after="120"/>
      </w:pPr>
      <w:r>
        <w:rPr>
          <w:rFonts w:ascii="Arial" w:cs="Arial" w:eastAsia="Arial" w:hAnsi="Arial"/>
          <w:color w:val="1A1A1A"/>
          <w:sz w:val="22"/>
          <w:szCs w:val="22"/>
        </w:rPr>
        <w:t xml:space="preserve">Networking hardware, LTE/5G solutions, IoT gateways, and full-stack infrastructure for telecom operators and ISPs.</w:t>
      </w:r>
    </w:p>
    <w:p>
      <w:pPr>
        <w:pStyle w:val="Heading3"/>
        <w:spacing w:after="100" w:before="200"/>
      </w:pPr>
      <w:r>
        <w:rPr>
          <w:rFonts w:ascii="Arial" w:cs="Arial" w:eastAsia="Arial" w:hAnsi="Arial"/>
          <w:b/>
          <w:bCs/>
          <w:color w:val="156082"/>
          <w:sz w:val="24"/>
          <w:szCs w:val="24"/>
        </w:rPr>
        <w:t xml:space="preserve">Education</w:t>
      </w:r>
    </w:p>
    <w:p>
      <w:pPr>
        <w:spacing w:after="120"/>
      </w:pPr>
      <w:r>
        <w:rPr>
          <w:rFonts w:ascii="Arial" w:cs="Arial" w:eastAsia="Arial" w:hAnsi="Arial"/>
          <w:color w:val="1A1A1A"/>
          <w:sz w:val="22"/>
          <w:szCs w:val="22"/>
        </w:rPr>
        <w:t xml:space="preserve">Digital platforms, custom software, and infrastructure for educational organizations.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Currently serving international education organizations.</w:t>
      </w:r>
    </w:p>
    <w:p>
      <w:pPr>
        <w:pStyle w:val="Heading3"/>
        <w:spacing w:after="100" w:before="200"/>
      </w:pPr>
      <w:r>
        <w:rPr>
          <w:rFonts w:ascii="Arial" w:cs="Arial" w:eastAsia="Arial" w:hAnsi="Arial"/>
          <w:b/>
          <w:bCs/>
          <w:color w:val="156082"/>
          <w:sz w:val="24"/>
          <w:szCs w:val="24"/>
        </w:rPr>
        <w:t xml:space="preserve">Hospitality</w:t>
      </w:r>
    </w:p>
    <w:p>
      <w:pPr>
        <w:spacing w:after="120"/>
      </w:pPr>
      <w:r>
        <w:rPr>
          <w:rFonts w:ascii="Arial" w:cs="Arial" w:eastAsia="Arial" w:hAnsi="Arial"/>
          <w:color w:val="1A1A1A"/>
          <w:sz w:val="22"/>
          <w:szCs w:val="22"/>
        </w:rPr>
        <w:t xml:space="preserve">Connectivity, customer engagement platforms, and integrated digital experiences for hotels and hospitality groups.</w:t>
      </w:r>
    </w:p>
    <w:p>
      <w:pPr>
        <w:pStyle w:val="Heading3"/>
        <w:spacing w:after="100" w:before="200"/>
      </w:pPr>
      <w:r>
        <w:rPr>
          <w:rFonts w:ascii="Arial" w:cs="Arial" w:eastAsia="Arial" w:hAnsi="Arial"/>
          <w:b/>
          <w:bCs/>
          <w:color w:val="156082"/>
          <w:sz w:val="24"/>
          <w:szCs w:val="24"/>
        </w:rPr>
        <w:t xml:space="preserve">Government</w:t>
      </w:r>
    </w:p>
    <w:p>
      <w:pPr>
        <w:spacing w:after="120"/>
      </w:pPr>
      <w:r>
        <w:rPr>
          <w:rFonts w:ascii="Arial" w:cs="Arial" w:eastAsia="Arial" w:hAnsi="Arial"/>
          <w:color w:val="1A1A1A"/>
          <w:sz w:val="22"/>
          <w:szCs w:val="22"/>
        </w:rPr>
        <w:t xml:space="preserve">Strategic transformation programs, infrastructure delivery, and digital systems integration for government entities.</w:t>
      </w:r>
    </w:p>
    <w:p>
      <w:pPr>
        <w:pStyle w:val="Heading2"/>
        <w:spacing w:after="140" w:before="280"/>
      </w:pPr>
      <w:r>
        <w:rPr>
          <w:rFonts w:ascii="Arial" w:cs="Arial" w:eastAsia="Arial" w:hAnsi="Arial"/>
          <w:b/>
          <w:bCs/>
          <w:color w:val="243C65"/>
          <w:sz w:val="28"/>
          <w:szCs w:val="28"/>
        </w:rPr>
        <w:t xml:space="preserve">Section 3 — Geographic Reach</w:t>
      </w:r>
    </w:p>
    <w:p>
      <w:pPr>
        <w:spacing w:after="60" w:before="200"/>
      </w:pPr>
      <w:r>
        <w:rPr>
          <w:rFonts w:ascii="Arial" w:cs="Arial" w:eastAsia="Arial" w:hAnsi="Arial"/>
          <w:b/>
          <w:bCs/>
          <w:color w:val="E33722"/>
          <w:spacing w:val="30"/>
          <w:sz w:val="18"/>
          <w:szCs w:val="18"/>
        </w:rPr>
        <w:t xml:space="preserve">SECTION EYEBROW</w:t>
      </w:r>
    </w:p>
    <w:p>
      <w:pPr>
        <w:spacing w:after="120"/>
      </w:pPr>
      <w:r>
        <w:rPr>
          <w:rFonts w:ascii="Arial" w:cs="Arial" w:eastAsia="Arial" w:hAnsi="Arial"/>
          <w:b/>
          <w:bCs/>
          <w:color w:val="1A1A1A"/>
          <w:sz w:val="22"/>
          <w:szCs w:val="22"/>
        </w:rPr>
        <w:t xml:space="preserve">CURRENT REACH</w:t>
      </w:r>
    </w:p>
    <w:p>
      <w:pPr>
        <w:spacing w:after="60" w:before="200"/>
      </w:pPr>
      <w:r>
        <w:rPr>
          <w:rFonts w:ascii="Arial" w:cs="Arial" w:eastAsia="Arial" w:hAnsi="Arial"/>
          <w:b/>
          <w:bCs/>
          <w:color w:val="E33722"/>
          <w:spacing w:val="30"/>
          <w:sz w:val="18"/>
          <w:szCs w:val="18"/>
        </w:rPr>
        <w:t xml:space="preserve">BODY</w:t>
      </w:r>
    </w:p>
    <w:p>
      <w:pPr>
        <w:spacing w:after="120"/>
      </w:pPr>
      <w:r>
        <w:rPr>
          <w:rFonts w:ascii="Arial" w:cs="Arial" w:eastAsia="Arial" w:hAnsi="Arial"/>
          <w:color w:val="1A1A1A"/>
          <w:sz w:val="22"/>
          <w:szCs w:val="22"/>
        </w:rPr>
        <w:t xml:space="preserve">Serving major financial groups, real estate developers, electronics distributors, automotive brands, and international education organizations across Egypt, KSA, UAE, and Qatar.</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Suggested visual: a regional map highlighting Egypt, KSA, UAE, and Qatar with markers.</w:t>
      </w:r>
    </w:p>
    <w:p>
      <w:pPr>
        <w:pStyle w:val="Heading2"/>
        <w:spacing w:after="140" w:before="280"/>
      </w:pPr>
      <w:r>
        <w:rPr>
          <w:rFonts w:ascii="Arial" w:cs="Arial" w:eastAsia="Arial" w:hAnsi="Arial"/>
          <w:b/>
          <w:bCs/>
          <w:color w:val="243C65"/>
          <w:sz w:val="28"/>
          <w:szCs w:val="28"/>
        </w:rPr>
        <w:t xml:space="preserve">Section 4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Don't see your industry? We work across emerging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Get in Touch</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1"/>
        <w:pageBreakBefore/>
        <w:spacing w:after="240" w:before="200"/>
      </w:pPr>
      <w:r>
        <w:rPr>
          <w:rFonts w:ascii="Arial" w:cs="Arial" w:eastAsia="Arial" w:hAnsi="Arial"/>
          <w:b/>
          <w:bCs/>
          <w:color w:val="243C65"/>
          <w:sz w:val="40"/>
          <w:szCs w:val="40"/>
        </w:rPr>
        <w:t xml:space="preserve">06 —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Our Process | From Pain Point to Full Deployment | Techtifai</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Our seven-stage delivery process takes you from initial assessment through ongoing managed services — with a single accountable partner from start to scale.</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delivery process, technology implementation, system integration, managed services, deployment, project management</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From Pain Point to Full Deployment</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A seven-stage delivery process that takes you from first conversation to fully deployed, integrated, and supported technology — under one accountable partner.</w:t>
      </w:r>
    </w:p>
    <w:p>
      <w:pPr>
        <w:pStyle w:val="Heading2"/>
        <w:spacing w:after="140" w:before="280"/>
      </w:pPr>
      <w:r>
        <w:rPr>
          <w:rFonts w:ascii="Arial" w:cs="Arial" w:eastAsia="Arial" w:hAnsi="Arial"/>
          <w:b/>
          <w:bCs/>
          <w:color w:val="243C65"/>
          <w:sz w:val="28"/>
          <w:szCs w:val="28"/>
        </w:rPr>
        <w:t xml:space="preserve">Section 1 — Process Overview</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How We Deliver Total Transformation</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Recommended layout: a horizontal timeline with seven nodes (one per stage), or a stacked card layout with stage numbers, titles, and descriptions. Use the navy + red accent system from the deck.</w:t>
      </w:r>
    </w:p>
    <w:p>
      <w:pPr>
        <w:pStyle w:val="Heading2"/>
        <w:spacing w:after="140" w:before="280"/>
      </w:pPr>
      <w:r>
        <w:rPr>
          <w:rFonts w:ascii="Arial" w:cs="Arial" w:eastAsia="Arial" w:hAnsi="Arial"/>
          <w:b/>
          <w:bCs/>
          <w:color w:val="243C65"/>
          <w:sz w:val="28"/>
          <w:szCs w:val="28"/>
        </w:rPr>
        <w:t xml:space="preserve">The Seven Stages</w:t>
      </w:r>
    </w:p>
    <w:p>
      <w:pPr>
        <w:pStyle w:val="Heading3"/>
        <w:spacing w:after="100" w:before="200"/>
      </w:pPr>
      <w:r>
        <w:rPr>
          <w:rFonts w:ascii="Arial" w:cs="Arial" w:eastAsia="Arial" w:hAnsi="Arial"/>
          <w:b/>
          <w:bCs/>
          <w:color w:val="156082"/>
          <w:sz w:val="24"/>
          <w:szCs w:val="24"/>
        </w:rPr>
        <w:t xml:space="preserve">Stage 1 — Assessment &amp; Scoping</w:t>
      </w:r>
    </w:p>
    <w:p>
      <w:pPr>
        <w:spacing w:after="120"/>
      </w:pPr>
      <w:r>
        <w:rPr>
          <w:rFonts w:ascii="Arial" w:cs="Arial" w:eastAsia="Arial" w:hAnsi="Arial"/>
          <w:color w:val="1A1A1A"/>
          <w:sz w:val="22"/>
          <w:szCs w:val="22"/>
        </w:rPr>
        <w:t xml:space="preserve">Evaluating infrastructure gaps, software needs, and digital readiness.</w:t>
      </w:r>
    </w:p>
    <w:p>
      <w:pPr>
        <w:pStyle w:val="Heading3"/>
        <w:spacing w:after="100" w:before="200"/>
      </w:pPr>
      <w:r>
        <w:rPr>
          <w:rFonts w:ascii="Arial" w:cs="Arial" w:eastAsia="Arial" w:hAnsi="Arial"/>
          <w:b/>
          <w:bCs/>
          <w:color w:val="156082"/>
          <w:sz w:val="24"/>
          <w:szCs w:val="24"/>
        </w:rPr>
        <w:t xml:space="preserve">Stage 2 — Solution Design &amp; Architecture</w:t>
      </w:r>
    </w:p>
    <w:p>
      <w:pPr>
        <w:spacing w:after="120"/>
      </w:pPr>
      <w:r>
        <w:rPr>
          <w:rFonts w:ascii="Arial" w:cs="Arial" w:eastAsia="Arial" w:hAnsi="Arial"/>
          <w:color w:val="1A1A1A"/>
          <w:sz w:val="22"/>
          <w:szCs w:val="22"/>
        </w:rPr>
        <w:t xml:space="preserve">Designing a cohesive architecture that integrates physical connectivity with digital applications.</w:t>
      </w:r>
    </w:p>
    <w:p>
      <w:pPr>
        <w:pStyle w:val="Heading3"/>
        <w:spacing w:after="100" w:before="200"/>
      </w:pPr>
      <w:r>
        <w:rPr>
          <w:rFonts w:ascii="Arial" w:cs="Arial" w:eastAsia="Arial" w:hAnsi="Arial"/>
          <w:b/>
          <w:bCs/>
          <w:color w:val="156082"/>
          <w:sz w:val="24"/>
          <w:szCs w:val="24"/>
        </w:rPr>
        <w:t xml:space="preserve">Stage 3 — Procurement &amp; Provisioning</w:t>
      </w:r>
    </w:p>
    <w:p>
      <w:pPr>
        <w:spacing w:after="120"/>
      </w:pPr>
      <w:r>
        <w:rPr>
          <w:rFonts w:ascii="Arial" w:cs="Arial" w:eastAsia="Arial" w:hAnsi="Arial"/>
          <w:color w:val="1A1A1A"/>
          <w:sz w:val="22"/>
          <w:szCs w:val="22"/>
        </w:rPr>
        <w:t xml:space="preserve">Sourcing necessary hardware, licensing software platforms, and preparing the physical and digital environments.</w:t>
      </w:r>
    </w:p>
    <w:p>
      <w:pPr>
        <w:pStyle w:val="Heading3"/>
        <w:spacing w:after="100" w:before="200"/>
      </w:pPr>
      <w:r>
        <w:rPr>
          <w:rFonts w:ascii="Arial" w:cs="Arial" w:eastAsia="Arial" w:hAnsi="Arial"/>
          <w:b/>
          <w:bCs/>
          <w:color w:val="156082"/>
          <w:sz w:val="24"/>
          <w:szCs w:val="24"/>
        </w:rPr>
        <w:t xml:space="preserve">Stage 4 — Implementation &amp; Deployment</w:t>
      </w:r>
    </w:p>
    <w:p>
      <w:pPr>
        <w:spacing w:after="120"/>
      </w:pPr>
      <w:r>
        <w:rPr>
          <w:rFonts w:ascii="Arial" w:cs="Arial" w:eastAsia="Arial" w:hAnsi="Arial"/>
          <w:color w:val="1A1A1A"/>
          <w:sz w:val="22"/>
          <w:szCs w:val="22"/>
        </w:rPr>
        <w:t xml:space="preserve">Installing network hardware, deploying software layers, and configuring AI tools and engagement platforms.</w:t>
      </w:r>
    </w:p>
    <w:p>
      <w:pPr>
        <w:pStyle w:val="Heading3"/>
        <w:spacing w:after="100" w:before="200"/>
      </w:pPr>
      <w:r>
        <w:rPr>
          <w:rFonts w:ascii="Arial" w:cs="Arial" w:eastAsia="Arial" w:hAnsi="Arial"/>
          <w:b/>
          <w:bCs/>
          <w:color w:val="156082"/>
          <w:sz w:val="24"/>
          <w:szCs w:val="24"/>
        </w:rPr>
        <w:t xml:space="preserve">Stage 5 — Integration &amp; Testing</w:t>
      </w:r>
    </w:p>
    <w:p>
      <w:pPr>
        <w:spacing w:after="120"/>
      </w:pPr>
      <w:r>
        <w:rPr>
          <w:rFonts w:ascii="Arial" w:cs="Arial" w:eastAsia="Arial" w:hAnsi="Arial"/>
          <w:color w:val="1A1A1A"/>
          <w:sz w:val="22"/>
          <w:szCs w:val="22"/>
        </w:rPr>
        <w:t xml:space="preserve">Ensuring all systems communicate flawlessly and running stress tests.</w:t>
      </w:r>
    </w:p>
    <w:p>
      <w:pPr>
        <w:pStyle w:val="Heading3"/>
        <w:spacing w:after="100" w:before="200"/>
      </w:pPr>
      <w:r>
        <w:rPr>
          <w:rFonts w:ascii="Arial" w:cs="Arial" w:eastAsia="Arial" w:hAnsi="Arial"/>
          <w:b/>
          <w:bCs/>
          <w:color w:val="156082"/>
          <w:sz w:val="24"/>
          <w:szCs w:val="24"/>
        </w:rPr>
        <w:t xml:space="preserve">Stage 6 — Go-Live &amp; Handover</w:t>
      </w:r>
    </w:p>
    <w:p>
      <w:pPr>
        <w:spacing w:after="120"/>
      </w:pPr>
      <w:r>
        <w:rPr>
          <w:rFonts w:ascii="Arial" w:cs="Arial" w:eastAsia="Arial" w:hAnsi="Arial"/>
          <w:color w:val="1A1A1A"/>
          <w:sz w:val="22"/>
          <w:szCs w:val="22"/>
        </w:rPr>
        <w:t xml:space="preserve">Transitioning from deployment to active use with full training for client teams.</w:t>
      </w:r>
    </w:p>
    <w:p>
      <w:pPr>
        <w:pStyle w:val="Heading3"/>
        <w:spacing w:after="100" w:before="200"/>
      </w:pPr>
      <w:r>
        <w:rPr>
          <w:rFonts w:ascii="Arial" w:cs="Arial" w:eastAsia="Arial" w:hAnsi="Arial"/>
          <w:b/>
          <w:bCs/>
          <w:color w:val="156082"/>
          <w:sz w:val="24"/>
          <w:szCs w:val="24"/>
        </w:rPr>
        <w:t xml:space="preserve">Stage 7 — Managed Services &amp; Scaling</w:t>
      </w:r>
    </w:p>
    <w:p>
      <w:pPr>
        <w:spacing w:after="120"/>
      </w:pPr>
      <w:r>
        <w:rPr>
          <w:rFonts w:ascii="Arial" w:cs="Arial" w:eastAsia="Arial" w:hAnsi="Arial"/>
          <w:color w:val="1A1A1A"/>
          <w:sz w:val="22"/>
          <w:szCs w:val="22"/>
        </w:rPr>
        <w:t xml:space="preserve">Providing ongoing technical support, maintenance, and strategic scaling.</w:t>
      </w:r>
    </w:p>
    <w:p>
      <w:pPr>
        <w:pStyle w:val="Heading2"/>
        <w:spacing w:after="140" w:before="280"/>
      </w:pPr>
      <w:r>
        <w:rPr>
          <w:rFonts w:ascii="Arial" w:cs="Arial" w:eastAsia="Arial" w:hAnsi="Arial"/>
          <w:b/>
          <w:bCs/>
          <w:color w:val="243C65"/>
          <w:sz w:val="28"/>
          <w:szCs w:val="28"/>
        </w:rPr>
        <w:t xml:space="preserve">Section 2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Ready to start at any stage? We're built for it.</w:t>
      </w:r>
    </w:p>
    <w:p>
      <w:pPr>
        <w:spacing w:after="60" w:before="200"/>
      </w:pPr>
      <w:r>
        <w:rPr>
          <w:rFonts w:ascii="Arial" w:cs="Arial" w:eastAsia="Arial" w:hAnsi="Arial"/>
          <w:b/>
          <w:bCs/>
          <w:color w:val="E33722"/>
          <w:spacing w:val="30"/>
          <w:sz w:val="18"/>
          <w:szCs w:val="18"/>
        </w:rPr>
        <w:t xml:space="preserve">SUB COPY</w:t>
      </w:r>
    </w:p>
    <w:p>
      <w:pPr>
        <w:spacing w:after="120"/>
      </w:pPr>
      <w:r>
        <w:rPr>
          <w:rFonts w:ascii="Arial" w:cs="Arial" w:eastAsia="Arial" w:hAnsi="Arial"/>
          <w:color w:val="1A1A1A"/>
          <w:sz w:val="22"/>
          <w:szCs w:val="22"/>
        </w:rPr>
        <w:t xml:space="preserve">Start anywhere. Scale into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Start Your Transformation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1"/>
        <w:pageBreakBefore/>
        <w:spacing w:after="240" w:before="200"/>
      </w:pPr>
      <w:r>
        <w:rPr>
          <w:rFonts w:ascii="Arial" w:cs="Arial" w:eastAsia="Arial" w:hAnsi="Arial"/>
          <w:b/>
          <w:bCs/>
          <w:color w:val="243C65"/>
          <w:sz w:val="40"/>
          <w:szCs w:val="40"/>
        </w:rPr>
        <w:t xml:space="preserve">07 — Why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Why Techtifai | Full-Stack, Execution-Led, Egypt-Cost Advantage</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Six reasons clients choose Techtifai over fragmented alternatives — from full-stack capability to execution-focused delivery and the Egypt cost advantage.</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why techtifai, full-stack technology, execution focus, egypt cost advantage, system integrator alternative, no vendor lock-in</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A New Kind of Technology Delivery Partner</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Why clients choose Techtifai over fragmented alternatives.</w:t>
      </w:r>
    </w:p>
    <w:p>
      <w:pPr>
        <w:pStyle w:val="Heading2"/>
        <w:spacing w:after="140" w:before="280"/>
      </w:pPr>
      <w:r>
        <w:rPr>
          <w:rFonts w:ascii="Arial" w:cs="Arial" w:eastAsia="Arial" w:hAnsi="Arial"/>
          <w:b/>
          <w:bCs/>
          <w:color w:val="243C65"/>
          <w:sz w:val="28"/>
          <w:szCs w:val="28"/>
        </w:rPr>
        <w:t xml:space="preserve">Section 1 — Our Positioning</w:t>
      </w:r>
    </w:p>
    <w:p>
      <w:pPr>
        <w:spacing w:after="60" w:before="200"/>
      </w:pPr>
      <w:r>
        <w:rPr>
          <w:rFonts w:ascii="Arial" w:cs="Arial" w:eastAsia="Arial" w:hAnsi="Arial"/>
          <w:b/>
          <w:bCs/>
          <w:color w:val="E33722"/>
          <w:spacing w:val="30"/>
          <w:sz w:val="18"/>
          <w:szCs w:val="18"/>
        </w:rPr>
        <w:t xml:space="preserve">BODY COPY (4 STATEMENTS)</w:t>
      </w:r>
    </w:p>
    <w:p>
      <w:pPr>
        <w:pStyle w:val="ListParagraph"/>
        <w:numPr>
          <w:ilvl w:val="0"/>
          <w:numId w:val="2"/>
        </w:numPr>
        <w:spacing w:after="80"/>
      </w:pPr>
      <w:r>
        <w:rPr>
          <w:rFonts w:ascii="Arial" w:cs="Arial" w:eastAsia="Arial" w:hAnsi="Arial"/>
          <w:color w:val="1A1A1A"/>
          <w:sz w:val="22"/>
          <w:szCs w:val="22"/>
        </w:rPr>
        <w:t xml:space="preserve">Positioning as a regional delivery partner for GCC enterprises seeking transformation without multi-vendor complexity.</w:t>
      </w:r>
    </w:p>
    <w:p>
      <w:pPr>
        <w:pStyle w:val="ListParagraph"/>
        <w:numPr>
          <w:ilvl w:val="0"/>
          <w:numId w:val="2"/>
        </w:numPr>
        <w:spacing w:after="80"/>
      </w:pPr>
      <w:r>
        <w:rPr>
          <w:rFonts w:ascii="Arial" w:cs="Arial" w:eastAsia="Arial" w:hAnsi="Arial"/>
          <w:color w:val="1A1A1A"/>
          <w:sz w:val="22"/>
          <w:szCs w:val="22"/>
        </w:rPr>
        <w:t xml:space="preserve">Egypt-based cost structure makes us highly competitive against large global systems integrators.</w:t>
      </w:r>
    </w:p>
    <w:p>
      <w:pPr>
        <w:pStyle w:val="ListParagraph"/>
        <w:numPr>
          <w:ilvl w:val="0"/>
          <w:numId w:val="2"/>
        </w:numPr>
        <w:spacing w:after="80"/>
      </w:pPr>
      <w:r>
        <w:rPr>
          <w:rFonts w:ascii="Arial" w:cs="Arial" w:eastAsia="Arial" w:hAnsi="Arial"/>
          <w:color w:val="1A1A1A"/>
          <w:sz w:val="22"/>
          <w:szCs w:val="22"/>
        </w:rPr>
        <w:t xml:space="preserve">Full-stack capability sets us apart from smaller local players who can only deliver part of the stack.</w:t>
      </w:r>
    </w:p>
    <w:p>
      <w:pPr>
        <w:pStyle w:val="ListParagraph"/>
        <w:numPr>
          <w:ilvl w:val="0"/>
          <w:numId w:val="2"/>
        </w:numPr>
        <w:spacing w:after="80"/>
      </w:pPr>
      <w:r>
        <w:rPr>
          <w:rFonts w:ascii="Arial" w:cs="Arial" w:eastAsia="Arial" w:hAnsi="Arial"/>
          <w:color w:val="1A1A1A"/>
          <w:sz w:val="22"/>
          <w:szCs w:val="22"/>
        </w:rPr>
        <w:t xml:space="preserve">Execution-over-advisory model ensures we implement and integrate, while solution flexibility allows clients to grow at their own pace.</w:t>
      </w:r>
    </w:p>
    <w:p>
      <w:pPr>
        <w:pStyle w:val="Heading2"/>
        <w:spacing w:after="140" w:before="280"/>
      </w:pPr>
      <w:r>
        <w:rPr>
          <w:rFonts w:ascii="Arial" w:cs="Arial" w:eastAsia="Arial" w:hAnsi="Arial"/>
          <w:b/>
          <w:bCs/>
          <w:color w:val="243C65"/>
          <w:sz w:val="28"/>
          <w:szCs w:val="28"/>
        </w:rPr>
        <w:t xml:space="preserve">Section 2 — Six Reasons Clients Choose Techtifai</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Why Clients Choose Techtifai Over Fragmented Alternatives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Recommended layout: a 3x2 grid of cards. Use the numbered red-accent treatment from the pitch deck.</w:t>
      </w:r>
    </w:p>
    <w:p>
      <w:pPr>
        <w:pStyle w:val="Heading3"/>
        <w:spacing w:after="100" w:before="200"/>
      </w:pPr>
      <w:r>
        <w:rPr>
          <w:rFonts w:ascii="Arial" w:cs="Arial" w:eastAsia="Arial" w:hAnsi="Arial"/>
          <w:b/>
          <w:bCs/>
          <w:color w:val="156082"/>
          <w:sz w:val="24"/>
          <w:szCs w:val="24"/>
        </w:rPr>
        <w:t xml:space="preserve">01 — Full-Stack Capability</w:t>
      </w:r>
    </w:p>
    <w:p>
      <w:pPr>
        <w:spacing w:after="120"/>
      </w:pPr>
      <w:r>
        <w:rPr>
          <w:rFonts w:ascii="Arial" w:cs="Arial" w:eastAsia="Arial" w:hAnsi="Arial"/>
          <w:color w:val="1A1A1A"/>
          <w:sz w:val="22"/>
          <w:szCs w:val="22"/>
        </w:rPr>
        <w:t xml:space="preserve">Offering both software and physical infrastructure as one partner — a rare combination in the market.</w:t>
      </w:r>
    </w:p>
    <w:p>
      <w:pPr>
        <w:pStyle w:val="Heading3"/>
        <w:spacing w:after="100" w:before="200"/>
      </w:pPr>
      <w:r>
        <w:rPr>
          <w:rFonts w:ascii="Arial" w:cs="Arial" w:eastAsia="Arial" w:hAnsi="Arial"/>
          <w:b/>
          <w:bCs/>
          <w:color w:val="156082"/>
          <w:sz w:val="24"/>
          <w:szCs w:val="24"/>
        </w:rPr>
        <w:t xml:space="preserve">02 — No Vendor Finger-Pointing</w:t>
      </w:r>
    </w:p>
    <w:p>
      <w:pPr>
        <w:spacing w:after="120"/>
      </w:pPr>
      <w:r>
        <w:rPr>
          <w:rFonts w:ascii="Arial" w:cs="Arial" w:eastAsia="Arial" w:hAnsi="Arial"/>
          <w:color w:val="1A1A1A"/>
          <w:sz w:val="22"/>
          <w:szCs w:val="22"/>
        </w:rPr>
        <w:t xml:space="preserve">Owning the full solution and the outcome.</w:t>
      </w:r>
    </w:p>
    <w:p>
      <w:pPr>
        <w:pStyle w:val="Heading3"/>
        <w:spacing w:after="100" w:before="200"/>
      </w:pPr>
      <w:r>
        <w:rPr>
          <w:rFonts w:ascii="Arial" w:cs="Arial" w:eastAsia="Arial" w:hAnsi="Arial"/>
          <w:b/>
          <w:bCs/>
          <w:color w:val="156082"/>
          <w:sz w:val="24"/>
          <w:szCs w:val="24"/>
        </w:rPr>
        <w:t xml:space="preserve">03 — Egypt Cost Advantage</w:t>
      </w:r>
    </w:p>
    <w:p>
      <w:pPr>
        <w:spacing w:after="120"/>
      </w:pPr>
      <w:r>
        <w:rPr>
          <w:rFonts w:ascii="Arial" w:cs="Arial" w:eastAsia="Arial" w:hAnsi="Arial"/>
          <w:color w:val="1A1A1A"/>
          <w:sz w:val="22"/>
          <w:szCs w:val="22"/>
        </w:rPr>
        <w:t xml:space="preserve">Delivering high-quality output at highly competitive pricing.</w:t>
      </w:r>
    </w:p>
    <w:p>
      <w:pPr>
        <w:pStyle w:val="Heading3"/>
        <w:spacing w:after="100" w:before="200"/>
      </w:pPr>
      <w:r>
        <w:rPr>
          <w:rFonts w:ascii="Arial" w:cs="Arial" w:eastAsia="Arial" w:hAnsi="Arial"/>
          <w:b/>
          <w:bCs/>
          <w:color w:val="156082"/>
          <w:sz w:val="24"/>
          <w:szCs w:val="24"/>
        </w:rPr>
        <w:t xml:space="preserve">04 — Bundled Delivery Model</w:t>
      </w:r>
    </w:p>
    <w:p>
      <w:pPr>
        <w:spacing w:after="120"/>
      </w:pPr>
      <w:r>
        <w:rPr>
          <w:rFonts w:ascii="Arial" w:cs="Arial" w:eastAsia="Arial" w:hAnsi="Arial"/>
          <w:color w:val="1A1A1A"/>
          <w:sz w:val="22"/>
          <w:szCs w:val="22"/>
        </w:rPr>
        <w:t xml:space="preserve">Packaging software and infrastructure into a single integrated offering.</w:t>
      </w:r>
    </w:p>
    <w:p>
      <w:pPr>
        <w:pStyle w:val="Heading3"/>
        <w:spacing w:after="100" w:before="200"/>
      </w:pPr>
      <w:r>
        <w:rPr>
          <w:rFonts w:ascii="Arial" w:cs="Arial" w:eastAsia="Arial" w:hAnsi="Arial"/>
          <w:b/>
          <w:bCs/>
          <w:color w:val="156082"/>
          <w:sz w:val="24"/>
          <w:szCs w:val="24"/>
        </w:rPr>
        <w:t xml:space="preserve">05 — Execution Focus</w:t>
      </w:r>
    </w:p>
    <w:p>
      <w:pPr>
        <w:spacing w:after="120"/>
      </w:pPr>
      <w:r>
        <w:rPr>
          <w:rFonts w:ascii="Arial" w:cs="Arial" w:eastAsia="Arial" w:hAnsi="Arial"/>
          <w:color w:val="1A1A1A"/>
          <w:sz w:val="22"/>
          <w:szCs w:val="22"/>
        </w:rPr>
        <w:t xml:space="preserve">Implementing and integrating rather than just advising.</w:t>
      </w:r>
    </w:p>
    <w:p>
      <w:pPr>
        <w:pStyle w:val="Heading3"/>
        <w:spacing w:after="100" w:before="200"/>
      </w:pPr>
      <w:r>
        <w:rPr>
          <w:rFonts w:ascii="Arial" w:cs="Arial" w:eastAsia="Arial" w:hAnsi="Arial"/>
          <w:b/>
          <w:bCs/>
          <w:color w:val="156082"/>
          <w:sz w:val="24"/>
          <w:szCs w:val="24"/>
        </w:rPr>
        <w:t xml:space="preserve">06 — Solution Flexibility</w:t>
      </w:r>
    </w:p>
    <w:p>
      <w:pPr>
        <w:spacing w:after="120"/>
      </w:pPr>
      <w:r>
        <w:rPr>
          <w:rFonts w:ascii="Arial" w:cs="Arial" w:eastAsia="Arial" w:hAnsi="Arial"/>
          <w:color w:val="1A1A1A"/>
          <w:sz w:val="22"/>
          <w:szCs w:val="22"/>
        </w:rPr>
        <w:t xml:space="preserve">Tailoring engagements to client needs rather than forcing rigid product packages.</w:t>
      </w:r>
    </w:p>
    <w:p>
      <w:pPr>
        <w:pStyle w:val="Heading2"/>
        <w:spacing w:after="140" w:before="280"/>
      </w:pPr>
      <w:r>
        <w:rPr>
          <w:rFonts w:ascii="Arial" w:cs="Arial" w:eastAsia="Arial" w:hAnsi="Arial"/>
          <w:b/>
          <w:bCs/>
          <w:color w:val="243C65"/>
          <w:sz w:val="28"/>
          <w:szCs w:val="28"/>
        </w:rPr>
        <w:t xml:space="preserve">Section 3 — Built in Egypt, Positioned for the Region</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Built in Egypt. Positioned for the Region.</w:t>
      </w:r>
    </w:p>
    <w:p>
      <w:pPr>
        <w:spacing w:after="60" w:before="200"/>
      </w:pPr>
      <w:r>
        <w:rPr>
          <w:rFonts w:ascii="Arial" w:cs="Arial" w:eastAsia="Arial" w:hAnsi="Arial"/>
          <w:b/>
          <w:bCs/>
          <w:color w:val="E33722"/>
          <w:spacing w:val="30"/>
          <w:sz w:val="18"/>
          <w:szCs w:val="18"/>
        </w:rPr>
        <w:t xml:space="preserve">THREE POINTS (3-CARD GRID)</w:t>
      </w:r>
    </w:p>
    <w:p>
      <w:pPr>
        <w:pStyle w:val="ListParagraph"/>
        <w:numPr>
          <w:ilvl w:val="0"/>
          <w:numId w:val="2"/>
        </w:numPr>
        <w:spacing w:after="80"/>
      </w:pPr>
      <w:r>
        <w:rPr>
          <w:rFonts w:ascii="Arial" w:cs="Arial" w:eastAsia="Arial" w:hAnsi="Arial"/>
          <w:color w:val="1A1A1A"/>
          <w:sz w:val="22"/>
          <w:szCs w:val="22"/>
        </w:rPr>
        <w:t xml:space="preserve">Primary delivery hub is Egypt, providing a significant pricing advantage over GCC-based and global competitors.</w:t>
      </w:r>
    </w:p>
    <w:p>
      <w:pPr>
        <w:pStyle w:val="ListParagraph"/>
        <w:numPr>
          <w:ilvl w:val="0"/>
          <w:numId w:val="2"/>
        </w:numPr>
        <w:spacing w:after="80"/>
      </w:pPr>
      <w:r>
        <w:rPr>
          <w:rFonts w:ascii="Arial" w:cs="Arial" w:eastAsia="Arial" w:hAnsi="Arial"/>
          <w:color w:val="1A1A1A"/>
          <w:sz w:val="22"/>
          <w:szCs w:val="22"/>
        </w:rPr>
        <w:t xml:space="preserve">Near-term commercial focus on Saudi Arabia, the UAE, and the broader GCC.</w:t>
      </w:r>
    </w:p>
    <w:p>
      <w:pPr>
        <w:pStyle w:val="ListParagraph"/>
        <w:numPr>
          <w:ilvl w:val="0"/>
          <w:numId w:val="2"/>
        </w:numPr>
        <w:spacing w:after="80"/>
      </w:pPr>
      <w:r>
        <w:rPr>
          <w:rFonts w:ascii="Arial" w:cs="Arial" w:eastAsia="Arial" w:hAnsi="Arial"/>
          <w:color w:val="1A1A1A"/>
          <w:sz w:val="22"/>
          <w:szCs w:val="22"/>
        </w:rPr>
        <w:t xml:space="preserve">Regional orientation and founding team's GCC relationships provide market access that purely Egyptian-focused players lack.</w:t>
      </w:r>
    </w:p>
    <w:p>
      <w:pPr>
        <w:pStyle w:val="Heading2"/>
        <w:spacing w:after="140" w:before="280"/>
      </w:pPr>
      <w:r>
        <w:rPr>
          <w:rFonts w:ascii="Arial" w:cs="Arial" w:eastAsia="Arial" w:hAnsi="Arial"/>
          <w:b/>
          <w:bCs/>
          <w:color w:val="243C65"/>
          <w:sz w:val="28"/>
          <w:szCs w:val="28"/>
        </w:rPr>
        <w:t xml:space="preserve">Section 4 — How Techtifai Compares to the Alternatives</w:t>
      </w:r>
    </w:p>
    <w:p>
      <w:pPr>
        <w:spacing w:after="60" w:before="200"/>
      </w:pPr>
      <w:r>
        <w:rPr>
          <w:rFonts w:ascii="Arial" w:cs="Arial" w:eastAsia="Arial" w:hAnsi="Arial"/>
          <w:b/>
          <w:bCs/>
          <w:color w:val="E33722"/>
          <w:spacing w:val="30"/>
          <w:sz w:val="18"/>
          <w:szCs w:val="18"/>
        </w:rPr>
        <w:t xml:space="preserve">SECTION HEADLINE (H2)</w:t>
      </w:r>
    </w:p>
    <w:p>
      <w:pPr>
        <w:spacing w:after="120"/>
      </w:pPr>
      <w:r>
        <w:rPr>
          <w:rFonts w:ascii="Arial" w:cs="Arial" w:eastAsia="Arial" w:hAnsi="Arial"/>
          <w:b/>
          <w:bCs/>
          <w:color w:val="1A1A1A"/>
          <w:sz w:val="22"/>
          <w:szCs w:val="22"/>
        </w:rPr>
        <w:t xml:space="preserve">Where Techtifai Outperforms the Alternatives</w:t>
      </w:r>
    </w:p>
    <w:p>
      <w:pPr>
        <w:spacing w:after="60" w:before="200"/>
      </w:pPr>
      <w:r>
        <w:rPr>
          <w:rFonts w:ascii="Arial" w:cs="Arial" w:eastAsia="Arial" w:hAnsi="Arial"/>
          <w:b/>
          <w:bCs/>
          <w:color w:val="E33722"/>
          <w:spacing w:val="30"/>
          <w:sz w:val="18"/>
          <w:szCs w:val="18"/>
        </w:rPr>
        <w:t xml:space="preserve">SECTION INTRO</w:t>
      </w:r>
    </w:p>
    <w:p>
      <w:pPr>
        <w:spacing w:after="120"/>
      </w:pPr>
      <w:r>
        <w:rPr>
          <w:rFonts w:ascii="Arial" w:cs="Arial" w:eastAsia="Arial" w:hAnsi="Arial"/>
          <w:color w:val="1A1A1A"/>
          <w:sz w:val="22"/>
          <w:szCs w:val="22"/>
        </w:rPr>
        <w:t xml:space="preserve">Most enterprises today choose between four kinds of technology providers — each with a structural limitation. Techtifai was built to remove all four.</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Category-based comparison rather than naming specific competitors. This avoids legal/defamation risk, ages better, and is more appropriate for GCC business norms. The detailed competitor list (with names) is reserved for sales enablement and 1:1 pitch deck conversations — not the public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Type of Provider</w:t>
            </w:r>
          </w:p>
        </w:tc>
        <w:tc>
          <w:tcPr>
            <w:tcW w:type="dxa" w:w="600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The Limitation</w:t>
            </w:r>
          </w:p>
        </w:tc>
      </w:tr>
      <w:tr>
        <w:tc>
          <w:tcPr>
            <w:tcW w:type="dxa" w:w="33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Traditional Egyptian IT integrators</w:t>
            </w:r>
          </w:p>
        </w:tc>
        <w:tc>
          <w:tcPr>
            <w:tcW w:type="dxa" w:w="60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Strong on infrastructure delivery, but typically more expensive, less agile, and with a limited AI and software layer.</w:t>
            </w:r>
          </w:p>
        </w:tc>
      </w:tr>
      <w:tr>
        <w:tc>
          <w:tcPr>
            <w:tcW w:type="dxa" w:w="33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Single-market GCC players</w:t>
            </w:r>
          </w:p>
        </w:tc>
        <w:tc>
          <w:tcPr>
            <w:tcW w:type="dxa" w:w="60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Deep in their home market, but lack the cross-border capability to support regional expansion or Egypt-to-GCC corridors.</w:t>
            </w:r>
          </w:p>
        </w:tc>
      </w:tr>
      <w:tr>
        <w:tc>
          <w:tcPr>
            <w:tcW w:type="dxa" w:w="33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Global enterprise consultancies</w:t>
            </w:r>
          </w:p>
        </w:tc>
        <w:tc>
          <w:tcPr>
            <w:tcW w:type="dxa" w:w="60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Strong advisory and large-enterprise focus, but cost-prohibitive for mid-market clients and rarely hands-on with execution.</w:t>
            </w:r>
          </w:p>
        </w:tc>
      </w:tr>
      <w:tr>
        <w:tc>
          <w:tcPr>
            <w:tcW w:type="dxa" w:w="33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Informal matchmaking arrangements</w:t>
            </w:r>
          </w:p>
        </w:tc>
        <w:tc>
          <w:tcPr>
            <w:tcW w:type="dxa" w:w="60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Rely on unstructured introductions with no formal model, accountability, or full-stack delivery capability.</w:t>
            </w:r>
          </w:p>
        </w:tc>
      </w:tr>
      <w:tr>
        <w:tc>
          <w:tcPr>
            <w:tcW w:type="dxa" w:w="336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TECHTIFAI</w:t>
            </w:r>
          </w:p>
        </w:tc>
        <w:tc>
          <w:tcPr>
            <w:tcW w:type="dxa" w:w="600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Combines full-stack capability, Egypt cost advantage, cross-border GCC reach, and execution-led delivery — under one accountable partner.</w:t>
            </w:r>
          </w:p>
        </w:tc>
      </w:tr>
    </w:tbl>
    <w:p>
      <w:pPr>
        <w:pStyle w:val="Heading2"/>
        <w:spacing w:after="140" w:before="280"/>
      </w:pPr>
      <w:r>
        <w:rPr>
          <w:rFonts w:ascii="Arial" w:cs="Arial" w:eastAsia="Arial" w:hAnsi="Arial"/>
          <w:b/>
          <w:bCs/>
          <w:color w:val="243C65"/>
          <w:sz w:val="28"/>
          <w:szCs w:val="28"/>
        </w:rPr>
        <w:t xml:space="preserve">Section 5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See how we win where others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View Case Studies</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/case-studies</w:t>
            </w:r>
          </w:p>
        </w:tc>
      </w:tr>
    </w:tbl>
    <w:p>
      <w:pPr>
        <w:pStyle w:val="Heading1"/>
        <w:pageBreakBefore/>
        <w:spacing w:after="240" w:before="200"/>
      </w:pPr>
      <w:r>
        <w:rPr>
          <w:rFonts w:ascii="Arial" w:cs="Arial" w:eastAsia="Arial" w:hAnsi="Arial"/>
          <w:b/>
          <w:bCs/>
          <w:color w:val="243C65"/>
          <w:sz w:val="40"/>
          <w:szCs w:val="40"/>
        </w:rPr>
        <w:t xml:space="preserve">08 — Case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Case Studies | Real Deployments, Real Gains | Techtifai</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See how Techtifai delivers measurable impact: AI for banking, connectivity for retail, and full-stack transformation for enterprises across the GCC.</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case studies, AI banking, retail connectivity, Wi-Fi 6 deployment, digital transformation case study, enterprise AI</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Impact in Action: Real Deployments, Real Gains</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Real-world deployments showing how integrated full-stack delivery turns transformation goals into measurable outcomes.</w:t>
      </w:r>
    </w:p>
    <w:p>
      <w:pPr>
        <w:pStyle w:val="Heading2"/>
        <w:spacing w:after="140" w:before="280"/>
      </w:pPr>
      <w:r>
        <w:rPr>
          <w:rFonts w:ascii="Arial" w:cs="Arial" w:eastAsia="Arial" w:hAnsi="Arial"/>
          <w:b/>
          <w:bCs/>
          <w:color w:val="243C65"/>
          <w:sz w:val="28"/>
          <w:szCs w:val="28"/>
        </w:rPr>
        <w:t xml:space="preserve">Case Study 01 — Banking AI</w:t>
      </w:r>
    </w:p>
    <w:p>
      <w:pPr>
        <w:spacing w:after="60" w:before="200"/>
      </w:pPr>
      <w:r>
        <w:rPr>
          <w:rFonts w:ascii="Arial" w:cs="Arial" w:eastAsia="Arial" w:hAnsi="Arial"/>
          <w:b/>
          <w:bCs/>
          <w:color w:val="E33722"/>
          <w:spacing w:val="30"/>
          <w:sz w:val="18"/>
          <w:szCs w:val="18"/>
        </w:rPr>
        <w:t xml:space="preserve">TITLE</w:t>
      </w:r>
    </w:p>
    <w:p>
      <w:pPr>
        <w:spacing w:after="120"/>
      </w:pPr>
      <w:r>
        <w:rPr>
          <w:rFonts w:ascii="Arial" w:cs="Arial" w:eastAsia="Arial" w:hAnsi="Arial"/>
          <w:b/>
          <w:bCs/>
          <w:color w:val="1A1A1A"/>
          <w:sz w:val="22"/>
          <w:szCs w:val="22"/>
        </w:rPr>
        <w:t xml:space="preserve">Enterprise AI That Delivers Real Operational Gains</w:t>
      </w:r>
    </w:p>
    <w:p>
      <w:pPr>
        <w:spacing w:after="60" w:before="200"/>
      </w:pPr>
      <w:r>
        <w:rPr>
          <w:rFonts w:ascii="Arial" w:cs="Arial" w:eastAsia="Arial" w:hAnsi="Arial"/>
          <w:b/>
          <w:bCs/>
          <w:color w:val="E33722"/>
          <w:spacing w:val="30"/>
          <w:sz w:val="18"/>
          <w:szCs w:val="18"/>
        </w:rPr>
        <w:t xml:space="preserve">USE CASE</w:t>
      </w:r>
    </w:p>
    <w:p>
      <w:pPr>
        <w:spacing w:after="120"/>
      </w:pPr>
      <w:r>
        <w:rPr>
          <w:rFonts w:ascii="Arial" w:cs="Arial" w:eastAsia="Arial" w:hAnsi="Arial"/>
          <w:color w:val="1A1A1A"/>
          <w:sz w:val="22"/>
          <w:szCs w:val="22"/>
        </w:rPr>
        <w:t xml:space="preserve">Deployed an AI-driven knowledge management and internal support system for a leading regional bank.</w:t>
      </w:r>
    </w:p>
    <w:p>
      <w:pPr>
        <w:spacing w:after="60" w:before="200"/>
      </w:pPr>
      <w:r>
        <w:rPr>
          <w:rFonts w:ascii="Arial" w:cs="Arial" w:eastAsia="Arial" w:hAnsi="Arial"/>
          <w:b/>
          <w:bCs/>
          <w:color w:val="E33722"/>
          <w:spacing w:val="30"/>
          <w:sz w:val="18"/>
          <w:szCs w:val="18"/>
        </w:rPr>
        <w:t xml:space="preserve">PROBLEM</w:t>
      </w:r>
    </w:p>
    <w:p>
      <w:pPr>
        <w:spacing w:after="120"/>
      </w:pPr>
      <w:r>
        <w:rPr>
          <w:rFonts w:ascii="Arial" w:cs="Arial" w:eastAsia="Arial" w:hAnsi="Arial"/>
          <w:color w:val="1A1A1A"/>
          <w:sz w:val="22"/>
          <w:szCs w:val="22"/>
        </w:rPr>
        <w:t xml:space="preserve">The bank's internal IT and HR support desks were overwhelmed, taking an average of 24 hours to resolve routine queries.</w:t>
      </w:r>
    </w:p>
    <w:p>
      <w:pPr>
        <w:spacing w:after="60" w:before="200"/>
      </w:pPr>
      <w:r>
        <w:rPr>
          <w:rFonts w:ascii="Arial" w:cs="Arial" w:eastAsia="Arial" w:hAnsi="Arial"/>
          <w:b/>
          <w:bCs/>
          <w:color w:val="E33722"/>
          <w:spacing w:val="30"/>
          <w:sz w:val="18"/>
          <w:szCs w:val="18"/>
        </w:rPr>
        <w:t xml:space="preserve">SOLUTION</w:t>
      </w:r>
    </w:p>
    <w:p>
      <w:pPr>
        <w:spacing w:after="120"/>
      </w:pPr>
      <w:r>
        <w:rPr>
          <w:rFonts w:ascii="Arial" w:cs="Arial" w:eastAsia="Arial" w:hAnsi="Arial"/>
          <w:color w:val="1A1A1A"/>
          <w:sz w:val="22"/>
          <w:szCs w:val="22"/>
        </w:rPr>
        <w:t xml:space="preserve">Integrated an AI conversational agent with the bank's internal databases, handling tier-1 support across all branches.</w:t>
      </w:r>
    </w:p>
    <w:p>
      <w:pPr>
        <w:spacing w:after="60" w:before="200"/>
      </w:pPr>
      <w:r>
        <w:rPr>
          <w:rFonts w:ascii="Arial" w:cs="Arial" w:eastAsia="Arial" w:hAnsi="Arial"/>
          <w:b/>
          <w:bCs/>
          <w:color w:val="E33722"/>
          <w:spacing w:val="30"/>
          <w:sz w:val="18"/>
          <w:szCs w:val="18"/>
        </w:rPr>
        <w:t xml:space="preserve">IMPACT</w:t>
      </w:r>
    </w:p>
    <w:p>
      <w:pPr>
        <w:spacing w:after="120"/>
      </w:pPr>
      <w:r>
        <w:rPr>
          <w:rFonts w:ascii="Arial" w:cs="Arial" w:eastAsia="Arial" w:hAnsi="Arial"/>
          <w:b/>
          <w:bCs/>
          <w:color w:val="1A1A1A"/>
          <w:sz w:val="22"/>
          <w:szCs w:val="22"/>
        </w:rPr>
        <w:t xml:space="preserve">Reduced query resolution time from 24 hours to under 2 minutes and deflected 65% of routine tickets away from human agents.</w:t>
      </w:r>
    </w:p>
    <w:p>
      <w:pPr>
        <w:pBdr>
          <w:bottom w:val="single" w:color="243C65" w:sz="6" w:space="1"/>
        </w:pBdr>
        <w:spacing w:after="200" w:before="200"/>
      </w:pPr>
      <w:r>
        <w:t xml:space="preserve"/>
      </w:r>
    </w:p>
    <w:p>
      <w:pPr>
        <w:pStyle w:val="Heading2"/>
        <w:spacing w:after="140" w:before="280"/>
      </w:pPr>
      <w:r>
        <w:rPr>
          <w:rFonts w:ascii="Arial" w:cs="Arial" w:eastAsia="Arial" w:hAnsi="Arial"/>
          <w:b/>
          <w:bCs/>
          <w:color w:val="243C65"/>
          <w:sz w:val="28"/>
          <w:szCs w:val="28"/>
        </w:rPr>
        <w:t xml:space="preserve">Case Study 02 — Retail Connectivity &amp; Engagement</w:t>
      </w:r>
    </w:p>
    <w:p>
      <w:pPr>
        <w:spacing w:after="60" w:before="200"/>
      </w:pPr>
      <w:r>
        <w:rPr>
          <w:rFonts w:ascii="Arial" w:cs="Arial" w:eastAsia="Arial" w:hAnsi="Arial"/>
          <w:b/>
          <w:bCs/>
          <w:color w:val="E33722"/>
          <w:spacing w:val="30"/>
          <w:sz w:val="18"/>
          <w:szCs w:val="18"/>
        </w:rPr>
        <w:t xml:space="preserve">TITLE</w:t>
      </w:r>
    </w:p>
    <w:p>
      <w:pPr>
        <w:spacing w:after="120"/>
      </w:pPr>
      <w:r>
        <w:rPr>
          <w:rFonts w:ascii="Arial" w:cs="Arial" w:eastAsia="Arial" w:hAnsi="Arial"/>
          <w:b/>
          <w:bCs/>
          <w:color w:val="1A1A1A"/>
          <w:sz w:val="22"/>
          <w:szCs w:val="22"/>
        </w:rPr>
        <w:t xml:space="preserve">Turning Infrastructure Into Intelligence</w:t>
      </w:r>
    </w:p>
    <w:p>
      <w:pPr>
        <w:spacing w:after="60" w:before="200"/>
      </w:pPr>
      <w:r>
        <w:rPr>
          <w:rFonts w:ascii="Arial" w:cs="Arial" w:eastAsia="Arial" w:hAnsi="Arial"/>
          <w:b/>
          <w:bCs/>
          <w:color w:val="E33722"/>
          <w:spacing w:val="30"/>
          <w:sz w:val="18"/>
          <w:szCs w:val="18"/>
        </w:rPr>
        <w:t xml:space="preserve">USE CASE</w:t>
      </w:r>
    </w:p>
    <w:p>
      <w:pPr>
        <w:spacing w:after="120"/>
      </w:pPr>
      <w:r>
        <w:rPr>
          <w:rFonts w:ascii="Arial" w:cs="Arial" w:eastAsia="Arial" w:hAnsi="Arial"/>
          <w:color w:val="1A1A1A"/>
          <w:sz w:val="22"/>
          <w:szCs w:val="22"/>
        </w:rPr>
        <w:t xml:space="preserve">Upgraded connectivity and digital engagement for a major regional retail chain.</w:t>
      </w:r>
    </w:p>
    <w:p>
      <w:pPr>
        <w:spacing w:after="60" w:before="200"/>
      </w:pPr>
      <w:r>
        <w:rPr>
          <w:rFonts w:ascii="Arial" w:cs="Arial" w:eastAsia="Arial" w:hAnsi="Arial"/>
          <w:b/>
          <w:bCs/>
          <w:color w:val="E33722"/>
          <w:spacing w:val="30"/>
          <w:sz w:val="18"/>
          <w:szCs w:val="18"/>
        </w:rPr>
        <w:t xml:space="preserve">PROBLEM</w:t>
      </w:r>
    </w:p>
    <w:p>
      <w:pPr>
        <w:spacing w:after="120"/>
      </w:pPr>
      <w:r>
        <w:rPr>
          <w:rFonts w:ascii="Arial" w:cs="Arial" w:eastAsia="Arial" w:hAnsi="Arial"/>
          <w:color w:val="1A1A1A"/>
          <w:sz w:val="22"/>
          <w:szCs w:val="22"/>
        </w:rPr>
        <w:t xml:space="preserve">In-store Wi-Fi was unreliable, and the retailer had no way to capture customer data or link in-store visits to online profiles.</w:t>
      </w:r>
    </w:p>
    <w:p>
      <w:pPr>
        <w:spacing w:after="60" w:before="200"/>
      </w:pPr>
      <w:r>
        <w:rPr>
          <w:rFonts w:ascii="Arial" w:cs="Arial" w:eastAsia="Arial" w:hAnsi="Arial"/>
          <w:b/>
          <w:bCs/>
          <w:color w:val="E33722"/>
          <w:spacing w:val="30"/>
          <w:sz w:val="18"/>
          <w:szCs w:val="18"/>
        </w:rPr>
        <w:t xml:space="preserve">SOLUTION</w:t>
      </w:r>
    </w:p>
    <w:p>
      <w:pPr>
        <w:spacing w:after="120"/>
      </w:pPr>
      <w:r>
        <w:rPr>
          <w:rFonts w:ascii="Arial" w:cs="Arial" w:eastAsia="Arial" w:hAnsi="Arial"/>
          <w:color w:val="1A1A1A"/>
          <w:sz w:val="22"/>
          <w:szCs w:val="22"/>
        </w:rPr>
        <w:t xml:space="preserve">Deployed enterprise-grade Wi-Fi 6 hardware coupled with a captive portal and CRM integration.</w:t>
      </w:r>
    </w:p>
    <w:p>
      <w:pPr>
        <w:spacing w:after="60" w:before="200"/>
      </w:pPr>
      <w:r>
        <w:rPr>
          <w:rFonts w:ascii="Arial" w:cs="Arial" w:eastAsia="Arial" w:hAnsi="Arial"/>
          <w:b/>
          <w:bCs/>
          <w:color w:val="E33722"/>
          <w:spacing w:val="30"/>
          <w:sz w:val="18"/>
          <w:szCs w:val="18"/>
        </w:rPr>
        <w:t xml:space="preserve">IMPACT</w:t>
      </w:r>
    </w:p>
    <w:p>
      <w:pPr>
        <w:spacing w:after="120"/>
      </w:pPr>
      <w:r>
        <w:rPr>
          <w:rFonts w:ascii="Arial" w:cs="Arial" w:eastAsia="Arial" w:hAnsi="Arial"/>
          <w:b/>
          <w:bCs/>
          <w:color w:val="1A1A1A"/>
          <w:sz w:val="22"/>
          <w:szCs w:val="22"/>
        </w:rPr>
        <w:t xml:space="preserve">Created a seamless connectivity experience for shoppers while allowing the retailer to capture 15,000+ new customer data points in the first month.</w:t>
      </w:r>
    </w:p>
    <w:p>
      <w:pPr>
        <w:pStyle w:val="Heading2"/>
        <w:spacing w:after="140" w:before="280"/>
      </w:pPr>
      <w:r>
        <w:rPr>
          <w:rFonts w:ascii="Arial" w:cs="Arial" w:eastAsia="Arial" w:hAnsi="Arial"/>
          <w:b/>
          <w:bCs/>
          <w:color w:val="243C65"/>
          <w:sz w:val="28"/>
          <w:szCs w:val="28"/>
        </w:rPr>
        <w:t xml:space="preserve">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Want results like these for your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Start a Conversation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1"/>
        <w:pageBreakBefore/>
        <w:spacing w:after="240" w:before="200"/>
      </w:pPr>
      <w:r>
        <w:rPr>
          <w:rFonts w:ascii="Arial" w:cs="Arial" w:eastAsia="Arial" w:hAnsi="Arial"/>
          <w:b/>
          <w:bCs/>
          <w:color w:val="243C65"/>
          <w:sz w:val="40"/>
          <w:szCs w:val="40"/>
        </w:rPr>
        <w:t xml:space="preserve">09 —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The Team | Builders, Founders, and Deal-Makers | Techtifai</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Meet the leadership behind Techtifai — operators, founders, and dealmakers with deep regional networks and proven execution experience.</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techtifai team, leadership, founders, Mohamed Hashem, Maged Ghoneima, Nagaty, Raiyan Sindi</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The Architects: Builders, Founders, and Deal-Makers</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Shared leadership, specialized execution. Techtifai and EXPND are distinct companies built under the same broader leadership platform — both founded in 2025, in their early commercial phase, and designed to scale across Egypt and the GCC through execution-led models.</w:t>
      </w:r>
    </w:p>
    <w:p>
      <w:pPr>
        <w:pStyle w:val="Heading2"/>
        <w:spacing w:after="140" w:before="280"/>
      </w:pPr>
      <w:r>
        <w:rPr>
          <w:rFonts w:ascii="Arial" w:cs="Arial" w:eastAsia="Arial" w:hAnsi="Arial"/>
          <w:b/>
          <w:bCs/>
          <w:color w:val="243C65"/>
          <w:sz w:val="28"/>
          <w:szCs w:val="28"/>
        </w:rPr>
        <w:t xml:space="preserve">Section 1 — Leadership Bios</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Recommended layout: a 2x2 grid of leadership cards on desktop, stacked on mobile. Each card should have: photo (placeholder), name, role, short bio. Tap/click to expand into a modal or dedicated bio page with the full bullet list.</w:t>
      </w:r>
    </w:p>
    <w:p>
      <w:pPr>
        <w:pStyle w:val="Heading3"/>
        <w:spacing w:after="100" w:before="200"/>
      </w:pPr>
      <w:r>
        <w:rPr>
          <w:rFonts w:ascii="Arial" w:cs="Arial" w:eastAsia="Arial" w:hAnsi="Arial"/>
          <w:b/>
          <w:bCs/>
          <w:color w:val="156082"/>
          <w:sz w:val="24"/>
          <w:szCs w:val="24"/>
        </w:rPr>
        <w:t xml:space="preserve">Mohamed Hashem</w:t>
      </w:r>
    </w:p>
    <w:p>
      <w:pPr>
        <w:spacing w:after="120"/>
      </w:pPr>
      <w:r>
        <w:rPr>
          <w:rFonts w:ascii="Arial" w:cs="Arial" w:eastAsia="Arial" w:hAnsi="Arial"/>
          <w:b/>
          <w:bCs/>
          <w:i/>
          <w:iCs/>
          <w:color w:val="1A1A1A"/>
          <w:sz w:val="22"/>
          <w:szCs w:val="22"/>
        </w:rPr>
        <w:t xml:space="preserve">CEO, EXPND &amp; Techtifai</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Photo placeholder needed.</w:t>
      </w:r>
    </w:p>
    <w:p>
      <w:pPr>
        <w:spacing w:after="60" w:before="200"/>
      </w:pPr>
      <w:r>
        <w:rPr>
          <w:rFonts w:ascii="Arial" w:cs="Arial" w:eastAsia="Arial" w:hAnsi="Arial"/>
          <w:b/>
          <w:bCs/>
          <w:color w:val="E33722"/>
          <w:spacing w:val="30"/>
          <w:sz w:val="18"/>
          <w:szCs w:val="18"/>
        </w:rPr>
        <w:t xml:space="preserve">BIO (BULLETS)</w:t>
      </w:r>
    </w:p>
    <w:p>
      <w:pPr>
        <w:pStyle w:val="ListParagraph"/>
        <w:numPr>
          <w:ilvl w:val="0"/>
          <w:numId w:val="2"/>
        </w:numPr>
        <w:spacing w:after="80"/>
      </w:pPr>
      <w:r>
        <w:rPr>
          <w:rFonts w:ascii="Arial" w:cs="Arial" w:eastAsia="Arial" w:hAnsi="Arial"/>
          <w:color w:val="1A1A1A"/>
          <w:sz w:val="22"/>
          <w:szCs w:val="22"/>
        </w:rPr>
        <w:t xml:space="preserve">CEO of both EXPND and Techtifai, responsible for overall business direction, commercial scaling, and bridging Egyptian capabilities with GCC market demands.</w:t>
      </w:r>
    </w:p>
    <w:p>
      <w:pPr>
        <w:pStyle w:val="ListParagraph"/>
        <w:numPr>
          <w:ilvl w:val="0"/>
          <w:numId w:val="2"/>
        </w:numPr>
        <w:spacing w:after="80"/>
      </w:pPr>
      <w:r>
        <w:rPr>
          <w:rFonts w:ascii="Arial" w:cs="Arial" w:eastAsia="Arial" w:hAnsi="Arial"/>
          <w:color w:val="1A1A1A"/>
          <w:sz w:val="22"/>
          <w:szCs w:val="22"/>
        </w:rPr>
        <w:t xml:space="preserve">Brings extensive experience in structuring cross-border deals and managing complex enterprise relationships.</w:t>
      </w:r>
    </w:p>
    <w:p>
      <w:pPr>
        <w:pStyle w:val="ListParagraph"/>
        <w:numPr>
          <w:ilvl w:val="0"/>
          <w:numId w:val="2"/>
        </w:numPr>
        <w:spacing w:after="80"/>
      </w:pPr>
      <w:r>
        <w:rPr>
          <w:rFonts w:ascii="Arial" w:cs="Arial" w:eastAsia="Arial" w:hAnsi="Arial"/>
          <w:color w:val="1A1A1A"/>
          <w:sz w:val="22"/>
          <w:szCs w:val="22"/>
        </w:rPr>
        <w:t xml:space="preserve">Focuses on building the operational engines that allow both platforms to scale rapidly.</w:t>
      </w:r>
    </w:p>
    <w:p>
      <w:pPr>
        <w:pStyle w:val="ListParagraph"/>
        <w:numPr>
          <w:ilvl w:val="0"/>
          <w:numId w:val="2"/>
        </w:numPr>
        <w:spacing w:after="80"/>
      </w:pPr>
      <w:r>
        <w:rPr>
          <w:rFonts w:ascii="Arial" w:cs="Arial" w:eastAsia="Arial" w:hAnsi="Arial"/>
          <w:color w:val="1A1A1A"/>
          <w:sz w:val="22"/>
          <w:szCs w:val="22"/>
        </w:rPr>
        <w:t xml:space="preserve">Ensures all commercial execution remains deeply aligned with client success and regional expansion goals.</w:t>
      </w:r>
    </w:p>
    <w:p>
      <w:pPr>
        <w:pBdr>
          <w:bottom w:val="single" w:color="243C65" w:sz="6" w:space="1"/>
        </w:pBdr>
        <w:spacing w:after="200" w:before="200"/>
      </w:pPr>
      <w:r>
        <w:t xml:space="preserve"/>
      </w:r>
    </w:p>
    <w:p>
      <w:pPr>
        <w:pStyle w:val="Heading3"/>
        <w:spacing w:after="100" w:before="200"/>
      </w:pPr>
      <w:r>
        <w:rPr>
          <w:rFonts w:ascii="Arial" w:cs="Arial" w:eastAsia="Arial" w:hAnsi="Arial"/>
          <w:b/>
          <w:bCs/>
          <w:color w:val="156082"/>
          <w:sz w:val="24"/>
          <w:szCs w:val="24"/>
        </w:rPr>
        <w:t xml:space="preserve">Dr. Maged Ghoneima</w:t>
      </w:r>
    </w:p>
    <w:p>
      <w:pPr>
        <w:spacing w:after="120"/>
      </w:pPr>
      <w:r>
        <w:rPr>
          <w:rFonts w:ascii="Arial" w:cs="Arial" w:eastAsia="Arial" w:hAnsi="Arial"/>
          <w:b/>
          <w:bCs/>
          <w:i/>
          <w:iCs/>
          <w:color w:val="1A1A1A"/>
          <w:sz w:val="22"/>
          <w:szCs w:val="22"/>
        </w:rPr>
        <w:t xml:space="preserve">Partner, EXPND &amp; Techtifai</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Photo placeholder needed.</w:t>
      </w:r>
    </w:p>
    <w:p>
      <w:pPr>
        <w:spacing w:after="60" w:before="200"/>
      </w:pPr>
      <w:r>
        <w:rPr>
          <w:rFonts w:ascii="Arial" w:cs="Arial" w:eastAsia="Arial" w:hAnsi="Arial"/>
          <w:b/>
          <w:bCs/>
          <w:color w:val="E33722"/>
          <w:spacing w:val="30"/>
          <w:sz w:val="18"/>
          <w:szCs w:val="18"/>
        </w:rPr>
        <w:t xml:space="preserve">BIO (BULLETS)</w:t>
      </w:r>
    </w:p>
    <w:p>
      <w:pPr>
        <w:pStyle w:val="ListParagraph"/>
        <w:numPr>
          <w:ilvl w:val="0"/>
          <w:numId w:val="2"/>
        </w:numPr>
        <w:spacing w:after="80"/>
      </w:pPr>
      <w:r>
        <w:rPr>
          <w:rFonts w:ascii="Arial" w:cs="Arial" w:eastAsia="Arial" w:hAnsi="Arial"/>
          <w:color w:val="1A1A1A"/>
          <w:sz w:val="22"/>
          <w:szCs w:val="22"/>
        </w:rPr>
        <w:t xml:space="preserve">Partner responsible for technology commercialization strategy, innovation partnerships, and startup pipeline development through ASU iHub and M Empire Angels.</w:t>
      </w:r>
    </w:p>
    <w:p>
      <w:pPr>
        <w:pStyle w:val="ListParagraph"/>
        <w:numPr>
          <w:ilvl w:val="0"/>
          <w:numId w:val="2"/>
        </w:numPr>
        <w:spacing w:after="80"/>
      </w:pPr>
      <w:r>
        <w:rPr>
          <w:rFonts w:ascii="Arial" w:cs="Arial" w:eastAsia="Arial" w:hAnsi="Arial"/>
          <w:color w:val="1A1A1A"/>
          <w:sz w:val="22"/>
          <w:szCs w:val="22"/>
        </w:rPr>
        <w:t xml:space="preserve">Holds a PhD in Computer Engineering from Northwestern University (2006); formerly a Senior Circuit Designer at NVIDIA and Intel Research Labs.</w:t>
      </w:r>
    </w:p>
    <w:p>
      <w:pPr>
        <w:pStyle w:val="ListParagraph"/>
        <w:numPr>
          <w:ilvl w:val="0"/>
          <w:numId w:val="2"/>
        </w:numPr>
        <w:spacing w:after="80"/>
      </w:pPr>
      <w:r>
        <w:rPr>
          <w:rFonts w:ascii="Arial" w:cs="Arial" w:eastAsia="Arial" w:hAnsi="Arial"/>
          <w:color w:val="1A1A1A"/>
          <w:sz w:val="22"/>
          <w:szCs w:val="22"/>
        </w:rPr>
        <w:t xml:space="preserve">Founded the ASU Innovation Hub (iHub) in 2014, a leading platform for startup incubation in Egypt.</w:t>
      </w:r>
    </w:p>
    <w:p>
      <w:pPr>
        <w:pStyle w:val="ListParagraph"/>
        <w:numPr>
          <w:ilvl w:val="0"/>
          <w:numId w:val="2"/>
        </w:numPr>
        <w:spacing w:after="80"/>
      </w:pPr>
      <w:r>
        <w:rPr>
          <w:rFonts w:ascii="Arial" w:cs="Arial" w:eastAsia="Arial" w:hAnsi="Arial"/>
          <w:color w:val="1A1A1A"/>
          <w:sz w:val="22"/>
          <w:szCs w:val="22"/>
        </w:rPr>
        <w:t xml:space="preserve">General Partner and Founder of M Empire Angels, managing a global portfolio of 130 startups, and has co-founded 20 startups.</w:t>
      </w:r>
    </w:p>
    <w:p>
      <w:pPr>
        <w:pStyle w:val="ListParagraph"/>
        <w:numPr>
          <w:ilvl w:val="0"/>
          <w:numId w:val="2"/>
        </w:numPr>
        <w:spacing w:after="80"/>
      </w:pPr>
      <w:r>
        <w:rPr>
          <w:rFonts w:ascii="Arial" w:cs="Arial" w:eastAsia="Arial" w:hAnsi="Arial"/>
          <w:color w:val="1A1A1A"/>
          <w:sz w:val="22"/>
          <w:szCs w:val="22"/>
        </w:rPr>
        <w:t xml:space="preserve">Serves as Innovation &amp; Entrepreneurship Advisor to the Egyptian Ministry of Higher Education and Partnerships Manager at Egypt's Innovators Support Fund (ISF).</w:t>
      </w:r>
    </w:p>
    <w:p>
      <w:pPr>
        <w:pBdr>
          <w:bottom w:val="single" w:color="243C65" w:sz="6" w:space="1"/>
        </w:pBdr>
        <w:spacing w:after="200" w:before="200"/>
      </w:pPr>
      <w:r>
        <w:t xml:space="preserve"/>
      </w:r>
    </w:p>
    <w:p>
      <w:pPr>
        <w:pStyle w:val="Heading3"/>
        <w:spacing w:after="100" w:before="200"/>
      </w:pPr>
      <w:r>
        <w:rPr>
          <w:rFonts w:ascii="Arial" w:cs="Arial" w:eastAsia="Arial" w:hAnsi="Arial"/>
          <w:b/>
          <w:bCs/>
          <w:color w:val="156082"/>
          <w:sz w:val="24"/>
          <w:szCs w:val="24"/>
        </w:rPr>
        <w:t xml:space="preserve">Mohamed Abu-Elnaga "Nagaty"</w:t>
      </w:r>
    </w:p>
    <w:p>
      <w:pPr>
        <w:spacing w:after="120"/>
      </w:pPr>
      <w:r>
        <w:rPr>
          <w:rFonts w:ascii="Arial" w:cs="Arial" w:eastAsia="Arial" w:hAnsi="Arial"/>
          <w:b/>
          <w:bCs/>
          <w:i/>
          <w:iCs/>
          <w:color w:val="1A1A1A"/>
          <w:sz w:val="22"/>
          <w:szCs w:val="22"/>
        </w:rPr>
        <w:t xml:space="preserve">Partner, EXPND &amp; Techtifai</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Photo placeholder needed.</w:t>
      </w:r>
    </w:p>
    <w:p>
      <w:pPr>
        <w:spacing w:after="60" w:before="200"/>
      </w:pPr>
      <w:r>
        <w:rPr>
          <w:rFonts w:ascii="Arial" w:cs="Arial" w:eastAsia="Arial" w:hAnsi="Arial"/>
          <w:b/>
          <w:bCs/>
          <w:color w:val="E33722"/>
          <w:spacing w:val="30"/>
          <w:sz w:val="18"/>
          <w:szCs w:val="18"/>
        </w:rPr>
        <w:t xml:space="preserve">BIO (BULLETS)</w:t>
      </w:r>
    </w:p>
    <w:p>
      <w:pPr>
        <w:pStyle w:val="ListParagraph"/>
        <w:numPr>
          <w:ilvl w:val="0"/>
          <w:numId w:val="2"/>
        </w:numPr>
        <w:spacing w:after="80"/>
      </w:pPr>
      <w:r>
        <w:rPr>
          <w:rFonts w:ascii="Arial" w:cs="Arial" w:eastAsia="Arial" w:hAnsi="Arial"/>
          <w:color w:val="1A1A1A"/>
          <w:sz w:val="22"/>
          <w:szCs w:val="22"/>
        </w:rPr>
        <w:t xml:space="preserve">Partner responsible for business development strategy, startup ecosystem partnerships, investor relations, and go-to-market advisory.</w:t>
      </w:r>
    </w:p>
    <w:p>
      <w:pPr>
        <w:pStyle w:val="ListParagraph"/>
        <w:numPr>
          <w:ilvl w:val="0"/>
          <w:numId w:val="2"/>
        </w:numPr>
        <w:spacing w:after="80"/>
      </w:pPr>
      <w:r>
        <w:rPr>
          <w:rFonts w:ascii="Arial" w:cs="Arial" w:eastAsia="Arial" w:hAnsi="Arial"/>
          <w:color w:val="1A1A1A"/>
          <w:sz w:val="22"/>
          <w:szCs w:val="22"/>
        </w:rPr>
        <w:t xml:space="preserve">Executive Chairman of Exits MENA and Founder &amp; CEO of Pie (leading M&amp;A advisory firm for startups in Egypt).</w:t>
      </w:r>
    </w:p>
    <w:p>
      <w:pPr>
        <w:pStyle w:val="ListParagraph"/>
        <w:numPr>
          <w:ilvl w:val="0"/>
          <w:numId w:val="2"/>
        </w:numPr>
        <w:spacing w:after="80"/>
      </w:pPr>
      <w:r>
        <w:rPr>
          <w:rFonts w:ascii="Arial" w:cs="Arial" w:eastAsia="Arial" w:hAnsi="Arial"/>
          <w:color w:val="1A1A1A"/>
          <w:sz w:val="22"/>
          <w:szCs w:val="22"/>
        </w:rPr>
        <w:t xml:space="preserve">Co-founded Halan (Africa's largest super app) and served as Regional Director at Careem (acquired by Uber for $3B).</w:t>
      </w:r>
    </w:p>
    <w:p>
      <w:pPr>
        <w:pStyle w:val="ListParagraph"/>
        <w:numPr>
          <w:ilvl w:val="0"/>
          <w:numId w:val="2"/>
        </w:numPr>
        <w:spacing w:after="80"/>
      </w:pPr>
      <w:r>
        <w:rPr>
          <w:rFonts w:ascii="Arial" w:cs="Arial" w:eastAsia="Arial" w:hAnsi="Arial"/>
          <w:color w:val="1A1A1A"/>
          <w:sz w:val="22"/>
          <w:szCs w:val="22"/>
        </w:rPr>
        <w:t xml:space="preserve">Co-founded KLIVVR and started his career at Fawry (Egypt's first tech company to IPO).</w:t>
      </w:r>
    </w:p>
    <w:p>
      <w:pPr>
        <w:pStyle w:val="ListParagraph"/>
        <w:numPr>
          <w:ilvl w:val="0"/>
          <w:numId w:val="2"/>
        </w:numPr>
        <w:spacing w:after="80"/>
      </w:pPr>
      <w:r>
        <w:rPr>
          <w:rFonts w:ascii="Arial" w:cs="Arial" w:eastAsia="Arial" w:hAnsi="Arial"/>
          <w:color w:val="1A1A1A"/>
          <w:sz w:val="22"/>
          <w:szCs w:val="22"/>
        </w:rPr>
        <w:t xml:space="preserve">Ranked among the top 27 entrepreneurs in Africa, sits on multiple boards (Koinz, Robusta, Waffarha), and is Partner/co-founder of Cashcows.</w:t>
      </w:r>
    </w:p>
    <w:p>
      <w:pPr>
        <w:pBdr>
          <w:bottom w:val="single" w:color="243C65" w:sz="6" w:space="1"/>
        </w:pBdr>
        <w:spacing w:after="200" w:before="200"/>
      </w:pPr>
      <w:r>
        <w:t xml:space="preserve"/>
      </w:r>
    </w:p>
    <w:p>
      <w:pPr>
        <w:pStyle w:val="Heading3"/>
        <w:spacing w:after="100" w:before="200"/>
      </w:pPr>
      <w:r>
        <w:rPr>
          <w:rFonts w:ascii="Arial" w:cs="Arial" w:eastAsia="Arial" w:hAnsi="Arial"/>
          <w:b/>
          <w:bCs/>
          <w:color w:val="156082"/>
          <w:sz w:val="24"/>
          <w:szCs w:val="24"/>
        </w:rPr>
        <w:t xml:space="preserve">Raiyan Sindi</w:t>
      </w:r>
    </w:p>
    <w:p>
      <w:pPr>
        <w:spacing w:after="120"/>
      </w:pPr>
      <w:r>
        <w:rPr>
          <w:rFonts w:ascii="Arial" w:cs="Arial" w:eastAsia="Arial" w:hAnsi="Arial"/>
          <w:b/>
          <w:bCs/>
          <w:i/>
          <w:iCs/>
          <w:color w:val="1A1A1A"/>
          <w:sz w:val="22"/>
          <w:szCs w:val="22"/>
        </w:rPr>
        <w:t xml:space="preserve">Partner, Techtifai (GCC Market Development)</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Photo placeholder needed.</w:t>
      </w:r>
    </w:p>
    <w:p>
      <w:pPr>
        <w:spacing w:after="60" w:before="200"/>
      </w:pPr>
      <w:r>
        <w:rPr>
          <w:rFonts w:ascii="Arial" w:cs="Arial" w:eastAsia="Arial" w:hAnsi="Arial"/>
          <w:b/>
          <w:bCs/>
          <w:color w:val="E33722"/>
          <w:spacing w:val="30"/>
          <w:sz w:val="18"/>
          <w:szCs w:val="18"/>
        </w:rPr>
        <w:t xml:space="preserve">BIO (BULLETS)</w:t>
      </w:r>
    </w:p>
    <w:p>
      <w:pPr>
        <w:pStyle w:val="ListParagraph"/>
        <w:numPr>
          <w:ilvl w:val="0"/>
          <w:numId w:val="2"/>
        </w:numPr>
        <w:spacing w:after="80"/>
      </w:pPr>
      <w:r>
        <w:rPr>
          <w:rFonts w:ascii="Arial" w:cs="Arial" w:eastAsia="Arial" w:hAnsi="Arial"/>
          <w:color w:val="1A1A1A"/>
          <w:sz w:val="22"/>
          <w:szCs w:val="22"/>
        </w:rPr>
        <w:t xml:space="preserve">Partner leading GCC Market Development, responsible for Saudi government/enterprise relationship management and Vision 2030-aligned programs.</w:t>
      </w:r>
    </w:p>
    <w:p>
      <w:pPr>
        <w:pStyle w:val="ListParagraph"/>
        <w:numPr>
          <w:ilvl w:val="0"/>
          <w:numId w:val="2"/>
        </w:numPr>
        <w:spacing w:after="80"/>
      </w:pPr>
      <w:r>
        <w:rPr>
          <w:rFonts w:ascii="Arial" w:cs="Arial" w:eastAsia="Arial" w:hAnsi="Arial"/>
          <w:color w:val="1A1A1A"/>
          <w:sz w:val="22"/>
          <w:szCs w:val="22"/>
        </w:rPr>
        <w:t xml:space="preserve">Saudi Arabian business development leader with 10 years of experience across the Kingdom's most strategic organizations.</w:t>
      </w:r>
    </w:p>
    <w:p>
      <w:pPr>
        <w:pStyle w:val="ListParagraph"/>
        <w:numPr>
          <w:ilvl w:val="0"/>
          <w:numId w:val="2"/>
        </w:numPr>
        <w:spacing w:after="80"/>
      </w:pPr>
      <w:r>
        <w:rPr>
          <w:rFonts w:ascii="Arial" w:cs="Arial" w:eastAsia="Arial" w:hAnsi="Arial"/>
          <w:color w:val="1A1A1A"/>
          <w:sz w:val="22"/>
          <w:szCs w:val="22"/>
        </w:rPr>
        <w:t xml:space="preserve">Holds a Bachelor's from KFUPM and is a certified Programme Management Professional (PgMP).</w:t>
      </w:r>
    </w:p>
    <w:p>
      <w:pPr>
        <w:pStyle w:val="ListParagraph"/>
        <w:numPr>
          <w:ilvl w:val="0"/>
          <w:numId w:val="2"/>
        </w:numPr>
        <w:spacing w:after="80"/>
      </w:pPr>
      <w:r>
        <w:rPr>
          <w:rFonts w:ascii="Arial" w:cs="Arial" w:eastAsia="Arial" w:hAnsi="Arial"/>
          <w:color w:val="1A1A1A"/>
          <w:sz w:val="22"/>
          <w:szCs w:val="22"/>
        </w:rPr>
        <w:t xml:space="preserve">Held senior roles at Saudi Aramco, leading Digital Investment and Digital Transformation initiatives.</w:t>
      </w:r>
    </w:p>
    <w:p>
      <w:pPr>
        <w:pStyle w:val="ListParagraph"/>
        <w:numPr>
          <w:ilvl w:val="0"/>
          <w:numId w:val="2"/>
        </w:numPr>
        <w:spacing w:after="80"/>
      </w:pPr>
      <w:r>
        <w:rPr>
          <w:rFonts w:ascii="Arial" w:cs="Arial" w:eastAsia="Arial" w:hAnsi="Arial"/>
          <w:color w:val="1A1A1A"/>
          <w:sz w:val="22"/>
          <w:szCs w:val="22"/>
        </w:rPr>
        <w:t xml:space="preserve">Served as Director of Strategic Partnerships at the Saudi Ministry of Hajj and Umrah, managing multi-billion SAR projects and negotiating with top international contractors.</w:t>
      </w:r>
    </w:p>
    <w:p>
      <w:pPr>
        <w:pStyle w:val="Heading2"/>
        <w:spacing w:after="140" w:before="280"/>
      </w:pPr>
      <w:r>
        <w:rPr>
          <w:rFonts w:ascii="Arial" w:cs="Arial" w:eastAsia="Arial" w:hAnsi="Arial"/>
          <w:b/>
          <w:bCs/>
          <w:color w:val="243C65"/>
          <w:sz w:val="28"/>
          <w:szCs w:val="28"/>
        </w:rPr>
        <w:t xml:space="preserve">Section 2 — Closing CTA</w:t>
      </w:r>
    </w:p>
    <w:p>
      <w:pPr>
        <w:spacing w:after="60" w:before="200"/>
      </w:pPr>
      <w:r>
        <w:rPr>
          <w:rFonts w:ascii="Arial" w:cs="Arial" w:eastAsia="Arial" w:hAnsi="Arial"/>
          <w:b/>
          <w:bCs/>
          <w:color w:val="E33722"/>
          <w:spacing w:val="30"/>
          <w:sz w:val="18"/>
          <w:szCs w:val="18"/>
        </w:rPr>
        <w:t xml:space="preserve">HEADLINE</w:t>
      </w:r>
    </w:p>
    <w:p>
      <w:pPr>
        <w:spacing w:after="120"/>
      </w:pPr>
      <w:r>
        <w:rPr>
          <w:rFonts w:ascii="Arial" w:cs="Arial" w:eastAsia="Arial" w:hAnsi="Arial"/>
          <w:b/>
          <w:bCs/>
          <w:color w:val="1A1A1A"/>
          <w:sz w:val="22"/>
          <w:szCs w:val="22"/>
        </w:rPr>
        <w:t xml:space="preserve">Want to work with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Get in Touch</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bl>
    <w:p>
      <w:pPr>
        <w:pStyle w:val="Heading1"/>
        <w:pageBreakBefore/>
        <w:spacing w:after="240" w:before="200"/>
      </w:pPr>
      <w:r>
        <w:rPr>
          <w:rFonts w:ascii="Arial" w:cs="Arial" w:eastAsia="Arial" w:hAnsi="Arial"/>
          <w:b/>
          <w:bCs/>
          <w:color w:val="243C65"/>
          <w:sz w:val="40"/>
          <w:szCs w:val="40"/>
        </w:rPr>
        <w:t xml:space="preserve">10 —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Page Title (SEO)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 Techtifai | Start Your Transformation</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Meta Description</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Get in touch with Techtifai to start your digital transformation journey. We respond within one business day.</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Keywords</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 techtifai, get in touch, request a quote, technology partner contact</w:t>
            </w:r>
          </w:p>
        </w:tc>
      </w:tr>
    </w:tbl>
    <w:p>
      <w:pPr>
        <w:pStyle w:val="Heading2"/>
        <w:spacing w:after="140" w:before="280"/>
      </w:pPr>
      <w:r>
        <w:rPr>
          <w:rFonts w:ascii="Arial" w:cs="Arial" w:eastAsia="Arial" w:hAnsi="Arial"/>
          <w:b/>
          <w:bCs/>
          <w:color w:val="243C65"/>
          <w:sz w:val="28"/>
          <w:szCs w:val="28"/>
        </w:rPr>
        <w:t xml:space="preserve">Hero Section</w:t>
      </w:r>
    </w:p>
    <w:p>
      <w:pPr>
        <w:spacing w:after="60" w:before="200"/>
      </w:pPr>
      <w:r>
        <w:rPr>
          <w:rFonts w:ascii="Arial" w:cs="Arial" w:eastAsia="Arial" w:hAnsi="Arial"/>
          <w:b/>
          <w:bCs/>
          <w:color w:val="E33722"/>
          <w:spacing w:val="30"/>
          <w:sz w:val="18"/>
          <w:szCs w:val="18"/>
        </w:rPr>
        <w:t xml:space="preserve">PAGE HEADLINE (H1)</w:t>
      </w:r>
    </w:p>
    <w:p>
      <w:pPr>
        <w:spacing w:after="120"/>
      </w:pPr>
      <w:r>
        <w:rPr>
          <w:rFonts w:ascii="Arial" w:cs="Arial" w:eastAsia="Arial" w:hAnsi="Arial"/>
          <w:b/>
          <w:bCs/>
          <w:color w:val="1A1A1A"/>
          <w:sz w:val="22"/>
          <w:szCs w:val="22"/>
        </w:rPr>
        <w:t xml:space="preserve">Let's Build the Future</w:t>
      </w:r>
    </w:p>
    <w:p>
      <w:pPr>
        <w:spacing w:after="60" w:before="200"/>
      </w:pPr>
      <w:r>
        <w:rPr>
          <w:rFonts w:ascii="Arial" w:cs="Arial" w:eastAsia="Arial" w:hAnsi="Arial"/>
          <w:b/>
          <w:bCs/>
          <w:color w:val="E33722"/>
          <w:spacing w:val="30"/>
          <w:sz w:val="18"/>
          <w:szCs w:val="18"/>
        </w:rPr>
        <w:t xml:space="preserve">PAGE SUBHEADLINE</w:t>
      </w:r>
    </w:p>
    <w:p>
      <w:pPr>
        <w:spacing w:after="120"/>
      </w:pPr>
      <w:r>
        <w:rPr>
          <w:rFonts w:ascii="Arial" w:cs="Arial" w:eastAsia="Arial" w:hAnsi="Arial"/>
          <w:color w:val="1A1A1A"/>
          <w:sz w:val="22"/>
          <w:szCs w:val="22"/>
        </w:rPr>
        <w:t xml:space="preserve">Tell us about your transformation goals, and we'll come back with a tailored conversation. One partner. Total transformation.</w:t>
      </w:r>
    </w:p>
    <w:p>
      <w:pPr>
        <w:pStyle w:val="Heading2"/>
        <w:spacing w:after="140" w:before="280"/>
      </w:pPr>
      <w:r>
        <w:rPr>
          <w:rFonts w:ascii="Arial" w:cs="Arial" w:eastAsia="Arial" w:hAnsi="Arial"/>
          <w:b/>
          <w:bCs/>
          <w:color w:val="243C65"/>
          <w:sz w:val="28"/>
          <w:szCs w:val="28"/>
        </w:rPr>
        <w:t xml:space="preserve">Section 1 — Contact Form</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Recommended form fields below. Use floating labels and the navy/red brand button styling. Form should validate inline and show a success state inline (no full page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50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546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Notes / Placeholder</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Full Name</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Yes</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"Your name"</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Work Email</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Yes</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"name@company.com" — validate as proper email</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Company</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Yes</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"Company name"</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Role / Title</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No</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"Your role"</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Country</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Yes</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Dropdown: Egypt, KSA, UAE, Qatar, Other</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I'm interested in</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Yes</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Multi-select: Software &amp; Digital · Connectivity &amp; Infrastructure · End-to-End Transformation · Specific Product · Not Sure Yet</w:t>
            </w:r>
          </w:p>
        </w:tc>
      </w:tr>
      <w:tr>
        <w:tc>
          <w:tcPr>
            <w:tcW w:type="dxa" w:w="24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Tell us more</w:t>
            </w:r>
          </w:p>
        </w:tc>
        <w:tc>
          <w:tcPr>
            <w:tcW w:type="dxa" w:w="150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No</w:t>
            </w:r>
          </w:p>
        </w:tc>
        <w:tc>
          <w:tcPr>
            <w:tcW w:type="dxa" w:w="54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Textarea: "Briefly describe your goals or challenges"</w:t>
            </w:r>
          </w:p>
        </w:tc>
      </w:tr>
    </w:tbl>
    <w:p>
      <w:pPr>
        <w:spacing w:after="100"/>
      </w:pPr>
      <w:r>
        <w:t xml:space="preserve"/>
      </w:r>
    </w:p>
    <w:p>
      <w:pPr>
        <w:spacing w:after="60" w:before="200"/>
      </w:pPr>
      <w:r>
        <w:rPr>
          <w:rFonts w:ascii="Arial" w:cs="Arial" w:eastAsia="Arial" w:hAnsi="Arial"/>
          <w:b/>
          <w:bCs/>
          <w:color w:val="E33722"/>
          <w:spacing w:val="30"/>
          <w:sz w:val="18"/>
          <w:szCs w:val="18"/>
        </w:rPr>
        <w:t xml:space="preserve">SUBMIT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Button Label</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b/>
                <w:bCs/>
                <w:color w:val="1A1A1A"/>
                <w:sz w:val="20"/>
                <w:szCs w:val="20"/>
              </w:rPr>
              <w:t xml:space="preserve">Send Message</w:t>
            </w:r>
          </w:p>
        </w:tc>
      </w:tr>
      <w:tr>
        <w:tc>
          <w:tcPr>
            <w:tcW w:type="dxa" w:w="22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Links to</w:t>
            </w:r>
          </w:p>
        </w:tc>
        <w:tc>
          <w:tcPr>
            <w:tcW w:type="dxa" w:w="71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Form submission handler</w:t>
            </w:r>
          </w:p>
        </w:tc>
      </w:tr>
    </w:tbl>
    <w:p>
      <w:pPr>
        <w:spacing w:after="60" w:before="200"/>
      </w:pPr>
      <w:r>
        <w:rPr>
          <w:rFonts w:ascii="Arial" w:cs="Arial" w:eastAsia="Arial" w:hAnsi="Arial"/>
          <w:b/>
          <w:bCs/>
          <w:color w:val="E33722"/>
          <w:spacing w:val="30"/>
          <w:sz w:val="18"/>
          <w:szCs w:val="18"/>
        </w:rPr>
        <w:t xml:space="preserve">SUCCESS STATE MESSAGE</w:t>
      </w:r>
    </w:p>
    <w:p>
      <w:pPr>
        <w:spacing w:after="120"/>
      </w:pPr>
      <w:r>
        <w:rPr>
          <w:rFonts w:ascii="Arial" w:cs="Arial" w:eastAsia="Arial" w:hAnsi="Arial"/>
          <w:color w:val="1A1A1A"/>
          <w:sz w:val="22"/>
          <w:szCs w:val="22"/>
        </w:rPr>
        <w:t xml:space="preserve">Thanks — we received your message. A member of our team will be in touch within one business day.</w:t>
      </w:r>
    </w:p>
    <w:p>
      <w:pPr>
        <w:pStyle w:val="Heading2"/>
        <w:spacing w:after="140" w:before="280"/>
      </w:pPr>
      <w:r>
        <w:rPr>
          <w:rFonts w:ascii="Arial" w:cs="Arial" w:eastAsia="Arial" w:hAnsi="Arial"/>
          <w:b/>
          <w:bCs/>
          <w:color w:val="243C65"/>
          <w:sz w:val="28"/>
          <w:szCs w:val="28"/>
        </w:rPr>
        <w:t xml:space="preserve">Section 2 — Direct Contact Info</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Pulled from the contact slide of the pitch deck. Client to fill in actual values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Address</w:t>
            </w:r>
          </w:p>
        </w:tc>
        <w:tc>
          <w:tcPr>
            <w:tcW w:type="dxa" w:w="69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 to be added ]</w:t>
            </w:r>
          </w:p>
        </w:tc>
      </w:tr>
      <w:tr>
        <w:tc>
          <w:tcPr>
            <w:tcW w:type="dxa" w:w="24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Email</w:t>
            </w:r>
          </w:p>
        </w:tc>
        <w:tc>
          <w:tcPr>
            <w:tcW w:type="dxa" w:w="69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 to be added ]</w:t>
            </w:r>
          </w:p>
        </w:tc>
      </w:tr>
      <w:tr>
        <w:tc>
          <w:tcPr>
            <w:tcW w:type="dxa" w:w="24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Phone</w:t>
            </w:r>
          </w:p>
        </w:tc>
        <w:tc>
          <w:tcPr>
            <w:tcW w:type="dxa" w:w="69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 to be added ]</w:t>
            </w:r>
          </w:p>
        </w:tc>
      </w:tr>
      <w:tr>
        <w:tc>
          <w:tcPr>
            <w:tcW w:type="dxa" w:w="24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Website</w:t>
            </w:r>
          </w:p>
        </w:tc>
        <w:tc>
          <w:tcPr>
            <w:tcW w:type="dxa" w:w="69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 to be added ]</w:t>
            </w:r>
          </w:p>
        </w:tc>
      </w:tr>
      <w:tr>
        <w:tc>
          <w:tcPr>
            <w:tcW w:type="dxa" w:w="2400"/>
            <w:tcBorders>
              <w:top w:val="single" w:color="DDE2EA" w:sz="1"/>
              <w:left w:val="single" w:color="DDE2EA" w:sz="1"/>
              <w:bottom w:val="single" w:color="DDE2EA" w:sz="1"/>
              <w:right w:val="single" w:color="DDE2EA" w:sz="1"/>
            </w:tcBorders>
            <w:shd w:fill="F4F6F8" w:val="clear"/>
            <w:tcMar>
              <w:top w:type="dxa" w:w="100"/>
              <w:left w:type="dxa" w:w="140"/>
              <w:bottom w:type="dxa" w:w="100"/>
              <w:right w:type="dxa" w:w="140"/>
            </w:tcMar>
          </w:tcPr>
          <w:p>
            <w:r>
              <w:rPr>
                <w:rFonts w:ascii="Arial" w:cs="Arial" w:eastAsia="Arial" w:hAnsi="Arial"/>
                <w:b/>
                <w:bCs/>
                <w:color w:val="243C65"/>
                <w:sz w:val="20"/>
                <w:szCs w:val="20"/>
              </w:rPr>
              <w:t xml:space="preserve">LinkedIn</w:t>
            </w:r>
          </w:p>
        </w:tc>
        <w:tc>
          <w:tcPr>
            <w:tcW w:type="dxa" w:w="696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 to be added ]</w:t>
            </w:r>
          </w:p>
        </w:tc>
      </w:tr>
    </w:tbl>
    <w:p>
      <w:pPr>
        <w:pStyle w:val="Heading1"/>
        <w:pageBreakBefore/>
        <w:spacing w:after="240" w:before="200"/>
      </w:pPr>
      <w:r>
        <w:rPr>
          <w:rFonts w:ascii="Arial" w:cs="Arial" w:eastAsia="Arial" w:hAnsi="Arial"/>
          <w:b/>
          <w:bCs/>
          <w:color w:val="243C65"/>
          <w:sz w:val="40"/>
          <w:szCs w:val="40"/>
        </w:rPr>
        <w:t xml:space="preserve">Global Footer</w:t>
      </w:r>
    </w:p>
    <w:p>
      <w:pPr>
        <w:pStyle w:val="Heading2"/>
        <w:spacing w:after="140" w:before="280"/>
      </w:pPr>
      <w:r>
        <w:rPr>
          <w:rFonts w:ascii="Arial" w:cs="Arial" w:eastAsia="Arial" w:hAnsi="Arial"/>
          <w:b/>
          <w:bCs/>
          <w:color w:val="243C65"/>
          <w:sz w:val="28"/>
          <w:szCs w:val="28"/>
        </w:rPr>
        <w:t xml:space="preserve">Footer Content</w:t>
      </w:r>
    </w:p>
    <w:p>
      <w:pPr>
        <w:pStyle w:val="Heading3"/>
        <w:spacing w:after="100" w:before="200"/>
      </w:pPr>
      <w:r>
        <w:rPr>
          <w:rFonts w:ascii="Arial" w:cs="Arial" w:eastAsia="Arial" w:hAnsi="Arial"/>
          <w:b/>
          <w:bCs/>
          <w:color w:val="156082"/>
          <w:sz w:val="24"/>
          <w:szCs w:val="24"/>
        </w:rPr>
        <w:t xml:space="preserve">Footer Tagline</w:t>
      </w:r>
    </w:p>
    <w:p>
      <w:pPr>
        <w:spacing w:after="120"/>
      </w:pPr>
      <w:r>
        <w:rPr>
          <w:rFonts w:ascii="Arial" w:cs="Arial" w:eastAsia="Arial" w:hAnsi="Arial"/>
          <w:b/>
          <w:bCs/>
          <w:i/>
          <w:iCs/>
          <w:color w:val="1A1A1A"/>
          <w:sz w:val="22"/>
          <w:szCs w:val="22"/>
        </w:rPr>
        <w:t xml:space="preserve">One Partner for Total Transformation</w:t>
      </w:r>
    </w:p>
    <w:p>
      <w:pPr>
        <w:pStyle w:val="Heading3"/>
        <w:spacing w:after="100" w:before="200"/>
      </w:pPr>
      <w:r>
        <w:rPr>
          <w:rFonts w:ascii="Arial" w:cs="Arial" w:eastAsia="Arial" w:hAnsi="Arial"/>
          <w:b/>
          <w:bCs/>
          <w:color w:val="156082"/>
          <w:sz w:val="24"/>
          <w:szCs w:val="24"/>
        </w:rPr>
        <w:t xml:space="preserve">Footer Description</w:t>
      </w:r>
    </w:p>
    <w:p>
      <w:pPr>
        <w:spacing w:after="120"/>
      </w:pPr>
      <w:r>
        <w:rPr>
          <w:rFonts w:ascii="Arial" w:cs="Arial" w:eastAsia="Arial" w:hAnsi="Arial"/>
          <w:color w:val="1A1A1A"/>
          <w:sz w:val="22"/>
          <w:szCs w:val="22"/>
        </w:rPr>
        <w:t xml:space="preserve">A full-stack technology solutions provider delivering integrated software, AI, and connectivity infrastructure for digital transformation — through one accountable partner.</w:t>
      </w:r>
    </w:p>
    <w:p>
      <w:pPr>
        <w:pStyle w:val="Heading3"/>
        <w:spacing w:after="100" w:before="200"/>
      </w:pPr>
      <w:r>
        <w:rPr>
          <w:rFonts w:ascii="Arial" w:cs="Arial" w:eastAsia="Arial" w:hAnsi="Arial"/>
          <w:b/>
          <w:bCs/>
          <w:color w:val="156082"/>
          <w:sz w:val="24"/>
          <w:szCs w:val="24"/>
        </w:rPr>
        <w:t xml:space="preserve">Footer Navigation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Company</w:t>
            </w:r>
          </w:p>
        </w:tc>
        <w:tc>
          <w:tcPr>
            <w:tcW w:type="dxa" w:w="234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Solutions</w:t>
            </w:r>
          </w:p>
        </w:tc>
        <w:tc>
          <w:tcPr>
            <w:tcW w:type="dxa" w:w="234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Resources</w:t>
            </w:r>
          </w:p>
        </w:tc>
        <w:tc>
          <w:tcPr>
            <w:tcW w:type="dxa" w:w="2340"/>
            <w:tcBorders>
              <w:top w:val="single" w:color="DDE2EA" w:sz="1"/>
              <w:left w:val="single" w:color="DDE2EA" w:sz="1"/>
              <w:bottom w:val="single" w:color="DDE2EA" w:sz="1"/>
              <w:right w:val="single" w:color="DDE2EA" w:sz="1"/>
            </w:tcBorders>
            <w:shd w:fill="243C65" w:val="clear"/>
            <w:tcMar>
              <w:top w:type="dxa" w:w="100"/>
              <w:left w:type="dxa" w:w="140"/>
              <w:bottom w:type="dxa" w:w="100"/>
              <w:right w:type="dxa" w:w="140"/>
            </w:tcMar>
          </w:tcPr>
          <w:p>
            <w:r>
              <w:rPr>
                <w:rFonts w:ascii="Arial" w:cs="Arial" w:eastAsia="Arial" w:hAnsi="Arial"/>
                <w:b/>
                <w:bCs/>
                <w:color w:val="FFFFFF"/>
                <w:sz w:val="20"/>
                <w:szCs w:val="20"/>
              </w:rPr>
              <w:t xml:space="preserve">Connect</w:t>
            </w:r>
          </w:p>
        </w:tc>
      </w:tr>
      <w:tr>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About</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Software &amp; Digital</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Case Studies</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Contact</w:t>
            </w:r>
          </w:p>
        </w:tc>
      </w:tr>
      <w:tr>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Team</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Connectivity &amp; Infrastructure</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Industries</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LinkedIn</w:t>
            </w:r>
          </w:p>
        </w:tc>
      </w:tr>
      <w:tr>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Why Us</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End-to-End Transformation</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Process</w:t>
            </w:r>
          </w:p>
        </w:tc>
        <w:tc>
          <w:tcPr>
            <w:tcW w:type="dxa" w:w="2340"/>
            <w:tcBorders>
              <w:top w:val="single" w:color="DDE2EA" w:sz="1"/>
              <w:left w:val="single" w:color="DDE2EA" w:sz="1"/>
              <w:bottom w:val="single" w:color="DDE2EA" w:sz="1"/>
              <w:right w:val="single" w:color="DDE2EA" w:sz="1"/>
            </w:tcBorders>
            <w:tcMar>
              <w:top w:type="dxa" w:w="100"/>
              <w:left w:type="dxa" w:w="140"/>
              <w:bottom w:type="dxa" w:w="100"/>
              <w:right w:type="dxa" w:w="140"/>
            </w:tcMar>
          </w:tcPr>
          <w:p>
            <w:r>
              <w:rPr>
                <w:rFonts w:ascii="Arial" w:cs="Arial" w:eastAsia="Arial" w:hAnsi="Arial"/>
                <w:color w:val="1A1A1A"/>
                <w:sz w:val="20"/>
                <w:szCs w:val="20"/>
              </w:rPr>
              <w:t xml:space="preserve">Email</w:t>
            </w:r>
          </w:p>
        </w:tc>
      </w:tr>
    </w:tbl>
    <w:p>
      <w:pPr>
        <w:pStyle w:val="Heading3"/>
        <w:spacing w:after="100" w:before="200"/>
      </w:pPr>
      <w:r>
        <w:rPr>
          <w:rFonts w:ascii="Arial" w:cs="Arial" w:eastAsia="Arial" w:hAnsi="Arial"/>
          <w:b/>
          <w:bCs/>
          <w:color w:val="156082"/>
          <w:sz w:val="24"/>
          <w:szCs w:val="24"/>
        </w:rPr>
        <w:t xml:space="preserve">Footer Legal Line</w:t>
      </w:r>
    </w:p>
    <w:p>
      <w:pPr>
        <w:spacing w:after="120"/>
      </w:pPr>
      <w:r>
        <w:rPr>
          <w:rFonts w:ascii="Arial" w:cs="Arial" w:eastAsia="Arial" w:hAnsi="Arial"/>
          <w:color w:val="1A1A1A"/>
          <w:sz w:val="22"/>
          <w:szCs w:val="22"/>
        </w:rPr>
        <w:t xml:space="preserve">© 2026 Techtifai. All rights reserved.</w:t>
      </w:r>
    </w:p>
    <w:p>
      <w:pPr>
        <w:pStyle w:val="Heading3"/>
        <w:spacing w:after="100" w:before="200"/>
      </w:pPr>
      <w:r>
        <w:rPr>
          <w:rFonts w:ascii="Arial" w:cs="Arial" w:eastAsia="Arial" w:hAnsi="Arial"/>
          <w:b/>
          <w:bCs/>
          <w:color w:val="156082"/>
          <w:sz w:val="24"/>
          <w:szCs w:val="24"/>
        </w:rPr>
        <w:t xml:space="preserve">Privacy &amp; Cookie Notice</w:t>
      </w:r>
    </w:p>
    <w:p>
      <w:pPr>
        <w:spacing w:after="200" w:before="100"/>
      </w:pPr>
      <w:r>
        <w:rPr>
          <w:rFonts w:ascii="Arial" w:cs="Arial" w:eastAsia="Arial" w:hAnsi="Arial"/>
          <w:b/>
          <w:bCs/>
          <w:i/>
          <w:iCs/>
          <w:color w:val="156082"/>
          <w:sz w:val="20"/>
          <w:szCs w:val="20"/>
        </w:rPr>
        <w:t xml:space="preserve">Note for design/dev: </w:t>
      </w:r>
      <w:r>
        <w:rPr>
          <w:rFonts w:ascii="Arial" w:cs="Arial" w:eastAsia="Arial" w:hAnsi="Arial"/>
          <w:i/>
          <w:iCs/>
          <w:color w:val="6B7280"/>
          <w:sz w:val="20"/>
          <w:szCs w:val="20"/>
        </w:rPr>
        <w:t xml:space="preserve">Privacy policy and cookie consent banner needed before launch. Standard GDPR + region-appropriate compliance.</w:t>
      </w:r>
    </w:p>
    <w:p>
      <w:pPr>
        <w:pStyle w:val="Heading1"/>
        <w:pageBreakBefore/>
        <w:spacing w:after="240" w:before="200"/>
      </w:pPr>
      <w:r>
        <w:rPr>
          <w:rFonts w:ascii="Arial" w:cs="Arial" w:eastAsia="Arial" w:hAnsi="Arial"/>
          <w:b/>
          <w:bCs/>
          <w:color w:val="243C65"/>
          <w:sz w:val="40"/>
          <w:szCs w:val="40"/>
        </w:rPr>
        <w:t xml:space="preserve">Appendix — Notes for Design &amp; Dev Team</w:t>
      </w:r>
    </w:p>
    <w:p>
      <w:pPr>
        <w:pStyle w:val="Heading2"/>
        <w:spacing w:after="140" w:before="280"/>
      </w:pPr>
      <w:r>
        <w:rPr>
          <w:rFonts w:ascii="Arial" w:cs="Arial" w:eastAsia="Arial" w:hAnsi="Arial"/>
          <w:b/>
          <w:bCs/>
          <w:color w:val="243C65"/>
          <w:sz w:val="28"/>
          <w:szCs w:val="28"/>
        </w:rPr>
        <w:t xml:space="preserve">Visual Direction</w:t>
      </w:r>
    </w:p>
    <w:p>
      <w:pPr>
        <w:spacing w:after="120"/>
      </w:pPr>
      <w:r>
        <w:rPr>
          <w:rFonts w:ascii="Arial" w:cs="Arial" w:eastAsia="Arial" w:hAnsi="Arial"/>
          <w:color w:val="1A1A1A"/>
          <w:sz w:val="22"/>
          <w:szCs w:val="22"/>
        </w:rPr>
        <w:t xml:space="preserve">The look-and-feel should match the Techtifai pitch deck, which establishes:</w:t>
      </w:r>
    </w:p>
    <w:p>
      <w:pPr>
        <w:pStyle w:val="ListParagraph"/>
        <w:numPr>
          <w:ilvl w:val="0"/>
          <w:numId w:val="2"/>
        </w:numPr>
        <w:spacing w:after="80"/>
      </w:pPr>
      <w:r>
        <w:rPr>
          <w:rFonts w:ascii="Arial" w:cs="Arial" w:eastAsia="Arial" w:hAnsi="Arial"/>
          <w:color w:val="1A1A1A"/>
          <w:sz w:val="22"/>
          <w:szCs w:val="22"/>
        </w:rPr>
        <w:t xml:space="preserve">A clean, minimalist white aesthetic with generous whitespace on content sections.</w:t>
      </w:r>
    </w:p>
    <w:p>
      <w:pPr>
        <w:pStyle w:val="ListParagraph"/>
        <w:numPr>
          <w:ilvl w:val="0"/>
          <w:numId w:val="2"/>
        </w:numPr>
        <w:spacing w:after="80"/>
      </w:pPr>
      <w:r>
        <w:rPr>
          <w:rFonts w:ascii="Arial" w:cs="Arial" w:eastAsia="Arial" w:hAnsi="Arial"/>
          <w:color w:val="1A1A1A"/>
          <w:sz w:val="22"/>
          <w:szCs w:val="22"/>
        </w:rPr>
        <w:t xml:space="preserve">Navy hero/section dividers with a subtle tech-circuit pattern (interconnected nodes and lines in light blue).</w:t>
      </w:r>
    </w:p>
    <w:p>
      <w:pPr>
        <w:pStyle w:val="ListParagraph"/>
        <w:numPr>
          <w:ilvl w:val="0"/>
          <w:numId w:val="2"/>
        </w:numPr>
        <w:spacing w:after="80"/>
      </w:pPr>
      <w:r>
        <w:rPr>
          <w:rFonts w:ascii="Arial" w:cs="Arial" w:eastAsia="Arial" w:hAnsi="Arial"/>
          <w:color w:val="1A1A1A"/>
          <w:sz w:val="22"/>
          <w:szCs w:val="22"/>
        </w:rPr>
        <w:t xml:space="preserve">Red as a precise accent color — used for thin underlines, button hover states, and key highlights only. Not used as a primary fill.</w:t>
      </w:r>
    </w:p>
    <w:p>
      <w:pPr>
        <w:pStyle w:val="ListParagraph"/>
        <w:numPr>
          <w:ilvl w:val="0"/>
          <w:numId w:val="2"/>
        </w:numPr>
        <w:spacing w:after="80"/>
      </w:pPr>
      <w:r>
        <w:rPr>
          <w:rFonts w:ascii="Arial" w:cs="Arial" w:eastAsia="Arial" w:hAnsi="Arial"/>
          <w:color w:val="1A1A1A"/>
          <w:sz w:val="22"/>
          <w:szCs w:val="22"/>
        </w:rPr>
        <w:t xml:space="preserve">Light blue (#B2DFF5) for secondary backgrounds, supporting graphics, and on-dark accent text.</w:t>
      </w:r>
    </w:p>
    <w:p>
      <w:pPr>
        <w:pStyle w:val="ListParagraph"/>
        <w:numPr>
          <w:ilvl w:val="0"/>
          <w:numId w:val="2"/>
        </w:numPr>
        <w:spacing w:after="80"/>
      </w:pPr>
      <w:r>
        <w:rPr>
          <w:rFonts w:ascii="Arial" w:cs="Arial" w:eastAsia="Arial" w:hAnsi="Arial"/>
          <w:color w:val="1A1A1A"/>
          <w:sz w:val="22"/>
          <w:szCs w:val="22"/>
        </w:rPr>
        <w:t xml:space="preserve">A thin horizontal accent line at the bottom of major sections — a signature template element from the master brand file.</w:t>
      </w:r>
    </w:p>
    <w:p>
      <w:pPr>
        <w:pStyle w:val="Heading2"/>
        <w:spacing w:after="140" w:before="280"/>
      </w:pPr>
      <w:r>
        <w:rPr>
          <w:rFonts w:ascii="Arial" w:cs="Arial" w:eastAsia="Arial" w:hAnsi="Arial"/>
          <w:b/>
          <w:bCs/>
          <w:color w:val="243C65"/>
          <w:sz w:val="28"/>
          <w:szCs w:val="28"/>
        </w:rPr>
        <w:t xml:space="preserve">Typography</w:t>
      </w:r>
    </w:p>
    <w:p>
      <w:pPr>
        <w:pStyle w:val="ListParagraph"/>
        <w:numPr>
          <w:ilvl w:val="0"/>
          <w:numId w:val="2"/>
        </w:numPr>
        <w:spacing w:after="80"/>
      </w:pPr>
      <w:r>
        <w:rPr>
          <w:rFonts w:ascii="Arial" w:cs="Arial" w:eastAsia="Arial" w:hAnsi="Arial"/>
          <w:color w:val="1A1A1A"/>
          <w:sz w:val="22"/>
          <w:szCs w:val="22"/>
        </w:rPr>
        <w:t xml:space="preserve">Headings: Aptos Display, bold. Fallback to Inter or system-ui.</w:t>
      </w:r>
    </w:p>
    <w:p>
      <w:pPr>
        <w:pStyle w:val="ListParagraph"/>
        <w:numPr>
          <w:ilvl w:val="0"/>
          <w:numId w:val="2"/>
        </w:numPr>
        <w:spacing w:after="80"/>
      </w:pPr>
      <w:r>
        <w:rPr>
          <w:rFonts w:ascii="Arial" w:cs="Arial" w:eastAsia="Arial" w:hAnsi="Arial"/>
          <w:color w:val="1A1A1A"/>
          <w:sz w:val="22"/>
          <w:szCs w:val="22"/>
        </w:rPr>
        <w:t xml:space="preserve">Body: Aptos. Fallback to Inter or system-ui.</w:t>
      </w:r>
    </w:p>
    <w:p>
      <w:pPr>
        <w:pStyle w:val="ListParagraph"/>
        <w:numPr>
          <w:ilvl w:val="0"/>
          <w:numId w:val="2"/>
        </w:numPr>
        <w:spacing w:after="80"/>
      </w:pPr>
      <w:r>
        <w:rPr>
          <w:rFonts w:ascii="Arial" w:cs="Arial" w:eastAsia="Arial" w:hAnsi="Arial"/>
          <w:color w:val="1A1A1A"/>
          <w:sz w:val="22"/>
          <w:szCs w:val="22"/>
        </w:rPr>
        <w:t xml:space="preserve">Section eyebrows / labels: all-caps, letter-spaced (~6px), small font size (~11–12px), in mid-blue or red.</w:t>
      </w:r>
    </w:p>
    <w:p>
      <w:pPr>
        <w:pStyle w:val="Heading2"/>
        <w:spacing w:after="140" w:before="280"/>
      </w:pPr>
      <w:r>
        <w:rPr>
          <w:rFonts w:ascii="Arial" w:cs="Arial" w:eastAsia="Arial" w:hAnsi="Arial"/>
          <w:b/>
          <w:bCs/>
          <w:color w:val="243C65"/>
          <w:sz w:val="28"/>
          <w:szCs w:val="28"/>
        </w:rPr>
        <w:t xml:space="preserve">Logos</w:t>
      </w:r>
    </w:p>
    <w:p>
      <w:pPr>
        <w:pStyle w:val="ListParagraph"/>
        <w:numPr>
          <w:ilvl w:val="0"/>
          <w:numId w:val="2"/>
        </w:numPr>
        <w:spacing w:after="80"/>
      </w:pPr>
      <w:r>
        <w:rPr>
          <w:rFonts w:ascii="Arial" w:cs="Arial" w:eastAsia="Arial" w:hAnsi="Arial"/>
          <w:color w:val="1A1A1A"/>
          <w:sz w:val="22"/>
          <w:szCs w:val="22"/>
        </w:rPr>
        <w:t xml:space="preserve">Use the navy wordmark on light backgrounds.</w:t>
      </w:r>
    </w:p>
    <w:p>
      <w:pPr>
        <w:pStyle w:val="ListParagraph"/>
        <w:numPr>
          <w:ilvl w:val="0"/>
          <w:numId w:val="2"/>
        </w:numPr>
        <w:spacing w:after="80"/>
      </w:pPr>
      <w:r>
        <w:rPr>
          <w:rFonts w:ascii="Arial" w:cs="Arial" w:eastAsia="Arial" w:hAnsi="Arial"/>
          <w:color w:val="1A1A1A"/>
          <w:sz w:val="22"/>
          <w:szCs w:val="22"/>
        </w:rPr>
        <w:t xml:space="preserve">Use the white wordmark on dark/navy backgrounds.</w:t>
      </w:r>
    </w:p>
    <w:p>
      <w:pPr>
        <w:pStyle w:val="ListParagraph"/>
        <w:numPr>
          <w:ilvl w:val="0"/>
          <w:numId w:val="2"/>
        </w:numPr>
        <w:spacing w:after="80"/>
      </w:pPr>
      <w:r>
        <w:rPr>
          <w:rFonts w:ascii="Arial" w:cs="Arial" w:eastAsia="Arial" w:hAnsi="Arial"/>
          <w:color w:val="1A1A1A"/>
          <w:sz w:val="22"/>
          <w:szCs w:val="22"/>
        </w:rPr>
        <w:t xml:space="preserve">The light-blue and red wordmark variants are reserved for specific accent contexts — confirm with the brand owner before using.</w:t>
      </w:r>
    </w:p>
    <w:p>
      <w:pPr>
        <w:pStyle w:val="ListParagraph"/>
        <w:numPr>
          <w:ilvl w:val="0"/>
          <w:numId w:val="2"/>
        </w:numPr>
        <w:spacing w:after="80"/>
      </w:pPr>
      <w:r>
        <w:rPr>
          <w:rFonts w:ascii="Arial" w:cs="Arial" w:eastAsia="Arial" w:hAnsi="Arial"/>
          <w:color w:val="1A1A1A"/>
          <w:sz w:val="22"/>
          <w:szCs w:val="22"/>
        </w:rPr>
        <w:t xml:space="preserve">The "tt" mark (square) should be used for favicons, social profile icons, and any constrained spaces.</w:t>
      </w:r>
    </w:p>
    <w:p>
      <w:pPr>
        <w:pStyle w:val="Heading2"/>
        <w:spacing w:after="140" w:before="280"/>
      </w:pPr>
      <w:r>
        <w:rPr>
          <w:rFonts w:ascii="Arial" w:cs="Arial" w:eastAsia="Arial" w:hAnsi="Arial"/>
          <w:b/>
          <w:bCs/>
          <w:color w:val="243C65"/>
          <w:sz w:val="28"/>
          <w:szCs w:val="28"/>
        </w:rPr>
        <w:t xml:space="preserve">Imagery</w:t>
      </w:r>
    </w:p>
    <w:p>
      <w:pPr>
        <w:pStyle w:val="ListParagraph"/>
        <w:numPr>
          <w:ilvl w:val="0"/>
          <w:numId w:val="2"/>
        </w:numPr>
        <w:spacing w:after="80"/>
      </w:pPr>
      <w:r>
        <w:rPr>
          <w:rFonts w:ascii="Arial" w:cs="Arial" w:eastAsia="Arial" w:hAnsi="Arial"/>
          <w:color w:val="1A1A1A"/>
          <w:sz w:val="22"/>
          <w:szCs w:val="22"/>
        </w:rPr>
        <w:t xml:space="preserve">Avoid generic stock photos of "businesspeople in suits" — they undermine the tech-forward positioning.</w:t>
      </w:r>
    </w:p>
    <w:p>
      <w:pPr>
        <w:pStyle w:val="ListParagraph"/>
        <w:numPr>
          <w:ilvl w:val="0"/>
          <w:numId w:val="2"/>
        </w:numPr>
        <w:spacing w:after="80"/>
      </w:pPr>
      <w:r>
        <w:rPr>
          <w:rFonts w:ascii="Arial" w:cs="Arial" w:eastAsia="Arial" w:hAnsi="Arial"/>
          <w:color w:val="1A1A1A"/>
          <w:sz w:val="22"/>
          <w:szCs w:val="22"/>
        </w:rPr>
        <w:t xml:space="preserve">Prefer abstract tech imagery: circuit patterns, network diagrams, data visualizations, server/infrastructure photography, or product photos of real connectivity hardware (routers, ONTs, IoT gateways).</w:t>
      </w:r>
    </w:p>
    <w:p>
      <w:pPr>
        <w:pStyle w:val="ListParagraph"/>
        <w:numPr>
          <w:ilvl w:val="0"/>
          <w:numId w:val="2"/>
        </w:numPr>
        <w:spacing w:after="80"/>
      </w:pPr>
      <w:r>
        <w:rPr>
          <w:rFonts w:ascii="Arial" w:cs="Arial" w:eastAsia="Arial" w:hAnsi="Arial"/>
          <w:color w:val="1A1A1A"/>
          <w:sz w:val="22"/>
          <w:szCs w:val="22"/>
        </w:rPr>
        <w:t xml:space="preserve">Team photo placeholders need to be replaced with actual headshots before launch — see Team page.</w:t>
      </w:r>
    </w:p>
    <w:p>
      <w:pPr>
        <w:pStyle w:val="ListParagraph"/>
        <w:numPr>
          <w:ilvl w:val="0"/>
          <w:numId w:val="2"/>
        </w:numPr>
        <w:spacing w:after="80"/>
      </w:pPr>
      <w:r>
        <w:rPr>
          <w:rFonts w:ascii="Arial" w:cs="Arial" w:eastAsia="Arial" w:hAnsi="Arial"/>
          <w:color w:val="1A1A1A"/>
          <w:sz w:val="22"/>
          <w:szCs w:val="22"/>
        </w:rPr>
        <w:t xml:space="preserve">Industry pages can use sector-specific abstract imagery (e.g., abstract retail-floor visuals, banking iconography, telecom infrastructure).</w:t>
      </w:r>
    </w:p>
    <w:p>
      <w:pPr>
        <w:pStyle w:val="Heading2"/>
        <w:spacing w:after="140" w:before="280"/>
      </w:pPr>
      <w:r>
        <w:rPr>
          <w:rFonts w:ascii="Arial" w:cs="Arial" w:eastAsia="Arial" w:hAnsi="Arial"/>
          <w:b/>
          <w:bCs/>
          <w:color w:val="243C65"/>
          <w:sz w:val="28"/>
          <w:szCs w:val="28"/>
        </w:rPr>
        <w:t xml:space="preserve">Performance &amp; Accessibility</w:t>
      </w:r>
    </w:p>
    <w:p>
      <w:pPr>
        <w:pStyle w:val="ListParagraph"/>
        <w:numPr>
          <w:ilvl w:val="0"/>
          <w:numId w:val="2"/>
        </w:numPr>
        <w:spacing w:after="80"/>
      </w:pPr>
      <w:r>
        <w:rPr>
          <w:rFonts w:ascii="Arial" w:cs="Arial" w:eastAsia="Arial" w:hAnsi="Arial"/>
          <w:color w:val="1A1A1A"/>
          <w:sz w:val="22"/>
          <w:szCs w:val="22"/>
        </w:rPr>
        <w:t xml:space="preserve">Target Lighthouse scores of 90+ across Performance, Accessibility, Best Practices, and SEO.</w:t>
      </w:r>
    </w:p>
    <w:p>
      <w:pPr>
        <w:pStyle w:val="ListParagraph"/>
        <w:numPr>
          <w:ilvl w:val="0"/>
          <w:numId w:val="2"/>
        </w:numPr>
        <w:spacing w:after="80"/>
      </w:pPr>
      <w:r>
        <w:rPr>
          <w:rFonts w:ascii="Arial" w:cs="Arial" w:eastAsia="Arial" w:hAnsi="Arial"/>
          <w:color w:val="1A1A1A"/>
          <w:sz w:val="22"/>
          <w:szCs w:val="22"/>
        </w:rPr>
        <w:t xml:space="preserve">All interactive elements should meet WCAG 2.1 AA contrast requirements — verify the red accent (#E33722) on white passes for non-text uses, and use it sparingly for text.</w:t>
      </w:r>
    </w:p>
    <w:p>
      <w:pPr>
        <w:pStyle w:val="ListParagraph"/>
        <w:numPr>
          <w:ilvl w:val="0"/>
          <w:numId w:val="2"/>
        </w:numPr>
        <w:spacing w:after="80"/>
      </w:pPr>
      <w:r>
        <w:rPr>
          <w:rFonts w:ascii="Arial" w:cs="Arial" w:eastAsia="Arial" w:hAnsi="Arial"/>
          <w:color w:val="1A1A1A"/>
          <w:sz w:val="22"/>
          <w:szCs w:val="22"/>
        </w:rPr>
        <w:t xml:space="preserve">Ensure the site is fully responsive across mobile, tablet, and desktop breakpoints.</w:t>
      </w:r>
    </w:p>
    <w:p>
      <w:pPr>
        <w:pStyle w:val="ListParagraph"/>
        <w:numPr>
          <w:ilvl w:val="0"/>
          <w:numId w:val="2"/>
        </w:numPr>
        <w:spacing w:after="80"/>
      </w:pPr>
      <w:r>
        <w:rPr>
          <w:rFonts w:ascii="Arial" w:cs="Arial" w:eastAsia="Arial" w:hAnsi="Arial"/>
          <w:color w:val="1A1A1A"/>
          <w:sz w:val="22"/>
          <w:szCs w:val="22"/>
        </w:rPr>
        <w:t xml:space="preserve">All images need descriptive alt text. Decorative SVGs should have role="presentation".</w:t>
      </w:r>
    </w:p>
    <w:p>
      <w:pPr>
        <w:pStyle w:val="Heading2"/>
        <w:spacing w:after="140" w:before="280"/>
      </w:pPr>
      <w:r>
        <w:rPr>
          <w:rFonts w:ascii="Arial" w:cs="Arial" w:eastAsia="Arial" w:hAnsi="Arial"/>
          <w:b/>
          <w:bCs/>
          <w:color w:val="243C65"/>
          <w:sz w:val="28"/>
          <w:szCs w:val="28"/>
        </w:rPr>
        <w:t xml:space="preserve">CMS / Editing</w:t>
      </w:r>
    </w:p>
    <w:p>
      <w:pPr>
        <w:pStyle w:val="ListParagraph"/>
        <w:numPr>
          <w:ilvl w:val="0"/>
          <w:numId w:val="2"/>
        </w:numPr>
        <w:spacing w:after="80"/>
      </w:pPr>
      <w:r>
        <w:rPr>
          <w:rFonts w:ascii="Arial" w:cs="Arial" w:eastAsia="Arial" w:hAnsi="Arial"/>
          <w:color w:val="1A1A1A"/>
          <w:sz w:val="22"/>
          <w:szCs w:val="22"/>
        </w:rPr>
        <w:t xml:space="preserve">Recommend a headless CMS (Sanity, Contentful, or Strapi) so the team can update case studies, team bios, and industries without dev intervention.</w:t>
      </w:r>
    </w:p>
    <w:p>
      <w:pPr>
        <w:pStyle w:val="ListParagraph"/>
        <w:numPr>
          <w:ilvl w:val="0"/>
          <w:numId w:val="2"/>
        </w:numPr>
        <w:spacing w:after="80"/>
      </w:pPr>
      <w:r>
        <w:rPr>
          <w:rFonts w:ascii="Arial" w:cs="Arial" w:eastAsia="Arial" w:hAnsi="Arial"/>
          <w:color w:val="1A1A1A"/>
          <w:sz w:val="22"/>
          <w:szCs w:val="22"/>
        </w:rPr>
        <w:t xml:space="preserve">Case studies should be a content type with: title, use case, problem, solution, impact, image, related industries.</w:t>
      </w:r>
    </w:p>
    <w:p>
      <w:pPr>
        <w:pStyle w:val="ListParagraph"/>
        <w:numPr>
          <w:ilvl w:val="0"/>
          <w:numId w:val="2"/>
        </w:numPr>
        <w:spacing w:after="80"/>
      </w:pPr>
      <w:r>
        <w:rPr>
          <w:rFonts w:ascii="Arial" w:cs="Arial" w:eastAsia="Arial" w:hAnsi="Arial"/>
          <w:color w:val="1A1A1A"/>
          <w:sz w:val="22"/>
          <w:szCs w:val="22"/>
        </w:rPr>
        <w:t xml:space="preserve">Team members should be a content type with: name, role, photo, short bio, full bio (rich text), order.</w:t>
      </w:r>
    </w:p>
    <w:p>
      <w:pPr>
        <w:pStyle w:val="Heading2"/>
        <w:spacing w:after="140" w:before="280"/>
      </w:pPr>
      <w:r>
        <w:rPr>
          <w:rFonts w:ascii="Arial" w:cs="Arial" w:eastAsia="Arial" w:hAnsi="Arial"/>
          <w:b/>
          <w:bCs/>
          <w:color w:val="243C65"/>
          <w:sz w:val="28"/>
          <w:szCs w:val="28"/>
        </w:rPr>
        <w:t xml:space="preserve">Open Items / To Confirm With Client</w:t>
      </w:r>
    </w:p>
    <w:p>
      <w:pPr>
        <w:pStyle w:val="ListParagraph"/>
        <w:numPr>
          <w:ilvl w:val="0"/>
          <w:numId w:val="2"/>
        </w:numPr>
        <w:spacing w:after="80"/>
      </w:pPr>
      <w:r>
        <w:rPr>
          <w:rFonts w:ascii="Arial" w:cs="Arial" w:eastAsia="Arial" w:hAnsi="Arial"/>
          <w:color w:val="1A1A1A"/>
          <w:sz w:val="22"/>
          <w:szCs w:val="22"/>
        </w:rPr>
        <w:t xml:space="preserve">Final contact details: address, phone, email, website domain, LinkedIn URL.</w:t>
      </w:r>
    </w:p>
    <w:p>
      <w:pPr>
        <w:pStyle w:val="ListParagraph"/>
        <w:numPr>
          <w:ilvl w:val="0"/>
          <w:numId w:val="2"/>
        </w:numPr>
        <w:spacing w:after="80"/>
      </w:pPr>
      <w:r>
        <w:rPr>
          <w:rFonts w:ascii="Arial" w:cs="Arial" w:eastAsia="Arial" w:hAnsi="Arial"/>
          <w:color w:val="1A1A1A"/>
          <w:sz w:val="22"/>
          <w:szCs w:val="22"/>
        </w:rPr>
        <w:t xml:space="preserve">Final headshot photography for the four leadership team members.</w:t>
      </w:r>
    </w:p>
    <w:p>
      <w:pPr>
        <w:pStyle w:val="ListParagraph"/>
        <w:numPr>
          <w:ilvl w:val="0"/>
          <w:numId w:val="2"/>
        </w:numPr>
        <w:spacing w:after="80"/>
      </w:pPr>
      <w:r>
        <w:rPr>
          <w:rFonts w:ascii="Arial" w:cs="Arial" w:eastAsia="Arial" w:hAnsi="Arial"/>
          <w:color w:val="1A1A1A"/>
          <w:sz w:val="22"/>
          <w:szCs w:val="22"/>
        </w:rPr>
        <w:t xml:space="preserve">Whether to include a "News" or "Insights" blog section in v1 (currently not included).</w:t>
      </w:r>
    </w:p>
    <w:p>
      <w:pPr>
        <w:pStyle w:val="ListParagraph"/>
        <w:numPr>
          <w:ilvl w:val="0"/>
          <w:numId w:val="2"/>
        </w:numPr>
        <w:spacing w:after="80"/>
      </w:pPr>
      <w:r>
        <w:rPr>
          <w:rFonts w:ascii="Arial" w:cs="Arial" w:eastAsia="Arial" w:hAnsi="Arial"/>
          <w:color w:val="1A1A1A"/>
          <w:sz w:val="22"/>
          <w:szCs w:val="22"/>
        </w:rPr>
        <w:t xml:space="preserve">Whether to include client logos / trust bar (e.g., "Serving X, Y, Z") on the homepage.</w:t>
      </w:r>
    </w:p>
    <w:p>
      <w:pPr>
        <w:pStyle w:val="ListParagraph"/>
        <w:numPr>
          <w:ilvl w:val="0"/>
          <w:numId w:val="2"/>
        </w:numPr>
        <w:spacing w:after="80"/>
      </w:pPr>
      <w:r>
        <w:rPr>
          <w:rFonts w:ascii="Arial" w:cs="Arial" w:eastAsia="Arial" w:hAnsi="Arial"/>
          <w:color w:val="1A1A1A"/>
          <w:sz w:val="22"/>
          <w:szCs w:val="22"/>
        </w:rPr>
        <w:t xml:space="preserve">Confirmation that all proposed industry sub-copy is accurate (some sections were extrapolated from "target sectors" with light contextual phrasing — see Industries page; client should review).</w:t>
      </w:r>
    </w:p>
    <w:p>
      <w:pPr>
        <w:pStyle w:val="ListParagraph"/>
        <w:numPr>
          <w:ilvl w:val="0"/>
          <w:numId w:val="2"/>
        </w:numPr>
        <w:spacing w:after="80"/>
      </w:pPr>
      <w:r>
        <w:rPr>
          <w:rFonts w:ascii="Arial" w:cs="Arial" w:eastAsia="Arial" w:hAnsi="Arial"/>
          <w:color w:val="1A1A1A"/>
          <w:sz w:val="22"/>
          <w:szCs w:val="22"/>
        </w:rPr>
        <w:t xml:space="preserve">CAPABILITIES PAGE — Confirm framing approach: capability benchmarks (current default — partner-delivered work reframed as what these capabilities are designed to achieve) vs. named partner attribution. The current copy is the safer, defensible version. If specific named clients become directly attributable to Techtifai delivery, they should be migrated to the Case Studies page with full named-client confirmation.</w:t>
      </w:r>
    </w:p>
    <w:p>
      <w:pPr>
        <w:pStyle w:val="ListParagraph"/>
        <w:numPr>
          <w:ilvl w:val="0"/>
          <w:numId w:val="2"/>
        </w:numPr>
        <w:spacing w:after="80"/>
      </w:pPr>
      <w:r>
        <w:rPr>
          <w:rFonts w:ascii="Arial" w:cs="Arial" w:eastAsia="Arial" w:hAnsi="Arial"/>
          <w:color w:val="1A1A1A"/>
          <w:sz w:val="22"/>
          <w:szCs w:val="22"/>
        </w:rPr>
        <w:t xml:space="preserve">CASE STUDIES — Confirm which case studies are direct Techtifai deliveries (vs. partner-delivered) and update the Case Studies page accordingly. Only directly attributable, verifiable Techtifai work should appear there with named clients.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3C65" w:sz="6" w:space="6"/>
      </w:pBdr>
      <w:tabs>
        <w:tab w:val="right" w:pos="9360"/>
      </w:tabs>
    </w:pPr>
    <w:r>
      <w:rPr>
        <w:rFonts w:ascii="Arial" w:cs="Arial" w:eastAsia="Arial" w:hAnsi="Arial"/>
        <w:color w:val="6B7280"/>
        <w:sz w:val="18"/>
        <w:szCs w:val="18"/>
      </w:rPr>
      <w:t xml:space="preserve">© 2026 Techtifai · Confidential</w:t>
    </w:r>
    <w:r>
      <w:rPr>
        <w:rFonts w:ascii="Arial" w:cs="Arial" w:eastAsia="Arial" w:hAnsi="Arial"/>
        <w:sz w:val="18"/>
        <w:szCs w:val="18"/>
      </w:rPr>
      <w:t xml:space="preserve">	</w:t>
    </w: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pacing w:val="30"/>
        <w:sz w:val="18"/>
        <w:szCs w:val="18"/>
      </w:rPr>
      <w:t xml:space="preserve">TECHTIFAI · Website Content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43C65"/>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43C6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560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2026-04-28T18:04:08.724Z</dcterms:created>
  <dcterms:modified xsi:type="dcterms:W3CDTF">2026-04-28T18:04:08.725Z</dcterms:modified>
</cp:coreProperties>
</file>

<file path=docProps/custom.xml><?xml version="1.0" encoding="utf-8"?>
<Properties xmlns="http://schemas.openxmlformats.org/officeDocument/2006/custom-properties" xmlns:vt="http://schemas.openxmlformats.org/officeDocument/2006/docPropsVTypes"/>
</file>