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C31FB" w14:textId="77777777" w:rsidR="009E2941" w:rsidRDefault="009E2941">
      <w:pPr>
        <w:pStyle w:val="Ttulo1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Arquitectura de PromptGuard</w:t>
      </w:r>
    </w:p>
    <w:p w14:paraId="20965BA1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Fuerte"/>
          <w:rFonts w:ascii="Arial" w:hAnsi="Arial" w:cs="Arial"/>
          <w:color w:val="222222"/>
          <w:lang w:val="es-ES"/>
        </w:rPr>
        <w:t>Resumen simple para una primera lectura del código</w:t>
      </w:r>
    </w:p>
    <w:p w14:paraId="4345E344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PromptGuard es una librería que funciona como un </w:t>
      </w:r>
      <w:r>
        <w:rPr>
          <w:rStyle w:val="Fuerte"/>
          <w:rFonts w:ascii="Arial" w:hAnsi="Arial" w:cs="Arial"/>
          <w:color w:val="222222"/>
          <w:lang w:val="es-ES"/>
        </w:rPr>
        <w:t>guardia de seguridad entre un modelo de inteligencia artificial y las herramientas de una aplicación</w:t>
      </w:r>
      <w:r>
        <w:rPr>
          <w:rFonts w:ascii="Arial" w:hAnsi="Arial" w:cs="Arial"/>
          <w:color w:val="222222"/>
          <w:lang w:val="es-ES"/>
        </w:rPr>
        <w:t>.</w:t>
      </w:r>
    </w:p>
    <w:p w14:paraId="6B2C6EE2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Antes de que una acción propuesta por el modelo se ejecute, PromptGuard revisa si está permitida.</w:t>
      </w:r>
    </w:p>
    <w:p w14:paraId="22A6C35F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Modelo de IA</w:t>
      </w:r>
    </w:p>
    <w:p w14:paraId="72A1E34F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479A38B2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Propone usar una herramienta</w:t>
      </w:r>
    </w:p>
    <w:p w14:paraId="027DED31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34013330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PromptGuard revisa la llamada</w:t>
      </w:r>
    </w:p>
    <w:p w14:paraId="2D158FBC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2F37DADE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Permite, bloquea, pide confirmación o deriva a una persona</w:t>
      </w:r>
    </w:p>
    <w:p w14:paraId="0CD439A3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44B3E487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La herramienta se ejecuta —o no—</w:t>
      </w:r>
    </w:p>
    <w:p w14:paraId="4452DF5E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Las dos partes principales</w:t>
      </w:r>
    </w:p>
    <w:p w14:paraId="3A4FE833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src/main/java/ar/edu/utn/frsf/promptguard/</w:t>
      </w:r>
    </w:p>
    <w:p w14:paraId="268BB835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├── core/</w:t>
      </w:r>
    </w:p>
    <w:p w14:paraId="59268E43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└── spring/</w:t>
      </w:r>
    </w:p>
    <w:p w14:paraId="372C8558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 xml:space="preserve">1. Paquete </w:t>
      </w:r>
      <w:r>
        <w:rPr>
          <w:rStyle w:val="CdigoHTML"/>
          <w:lang w:val="es-ES"/>
        </w:rPr>
        <w:t>core</w:t>
      </w:r>
      <w:r>
        <w:rPr>
          <w:rFonts w:ascii="Arial" w:eastAsia="Times New Roman" w:hAnsi="Arial" w:cs="Arial"/>
          <w:lang w:val="es-ES"/>
        </w:rPr>
        <w:t>: el cerebro de seguridad</w:t>
      </w:r>
    </w:p>
    <w:p w14:paraId="4204551D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El paquete </w:t>
      </w:r>
      <w:r>
        <w:rPr>
          <w:rStyle w:val="CdigoHTML"/>
          <w:color w:val="222222"/>
          <w:lang w:val="es-ES"/>
        </w:rPr>
        <w:t>core</w:t>
      </w:r>
      <w:r>
        <w:rPr>
          <w:rFonts w:ascii="Arial" w:hAnsi="Arial" w:cs="Arial"/>
          <w:color w:val="222222"/>
          <w:lang w:val="es-ES"/>
        </w:rPr>
        <w:t xml:space="preserve"> contiene la lógica principal de PromptGuard. Esta parte no depende directamente de Spring.</w:t>
      </w:r>
    </w:p>
    <w:p w14:paraId="3B4212B3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Su trabajo es responder: </w:t>
      </w:r>
      <w:r>
        <w:rPr>
          <w:rStyle w:val="nfasis"/>
          <w:rFonts w:ascii="Arial" w:hAnsi="Arial" w:cs="Arial"/>
          <w:color w:val="222222"/>
          <w:lang w:val="es-ES"/>
        </w:rPr>
        <w:t>“¿Esta herramienta puede ejecutarse con estos argumentos y este contexto?”</w:t>
      </w:r>
    </w:p>
    <w:p w14:paraId="70D43CB5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El archivo más importante</w:t>
      </w:r>
    </w:p>
    <w:p w14:paraId="1929EA3C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El componente central es </w:t>
      </w:r>
      <w:r>
        <w:rPr>
          <w:rStyle w:val="CdigoHTML"/>
          <w:color w:val="222222"/>
          <w:lang w:val="es-ES"/>
        </w:rPr>
        <w:t>EvaluadorAcciones.java</w:t>
      </w:r>
      <w:r>
        <w:rPr>
          <w:rFonts w:ascii="Arial" w:hAnsi="Arial" w:cs="Arial"/>
          <w:color w:val="222222"/>
          <w:lang w:val="es-ES"/>
        </w:rPr>
        <w:t>. Su método principal es:</w:t>
      </w:r>
    </w:p>
    <w:p w14:paraId="780BCAA6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decidir(LlamadaHerramienta llamada, ContextoSolicitud contexto)</w:t>
      </w:r>
    </w:p>
    <w:p w14:paraId="776A2DC0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Recibe la herramienta que el modelo quiere usar, sus argumentos, el contexto de la conversación y la política de seguridad. Devuelve una decisión:</w:t>
      </w:r>
    </w:p>
    <w:p w14:paraId="3F6A0ADF" w14:textId="77777777" w:rsidR="009E2941" w:rsidRDefault="009E2941">
      <w:pPr>
        <w:numPr>
          <w:ilvl w:val="0"/>
          <w:numId w:val="1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PERMITIR</w:t>
      </w:r>
    </w:p>
    <w:p w14:paraId="622FEB0C" w14:textId="77777777" w:rsidR="009E2941" w:rsidRDefault="009E2941">
      <w:pPr>
        <w:numPr>
          <w:ilvl w:val="0"/>
          <w:numId w:val="1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BLOQUEAR</w:t>
      </w:r>
    </w:p>
    <w:p w14:paraId="635903A0" w14:textId="77777777" w:rsidR="009E2941" w:rsidRDefault="009E2941">
      <w:pPr>
        <w:numPr>
          <w:ilvl w:val="0"/>
          <w:numId w:val="1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CONFIRMAR</w:t>
      </w:r>
    </w:p>
    <w:p w14:paraId="68ECE9EA" w14:textId="77777777" w:rsidR="009E2941" w:rsidRDefault="009E2941">
      <w:pPr>
        <w:numPr>
          <w:ilvl w:val="0"/>
          <w:numId w:val="1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DERIVAR</w:t>
      </w:r>
    </w:p>
    <w:p w14:paraId="63D69936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 xml:space="preserve">¿Qué revisa </w:t>
      </w:r>
      <w:r>
        <w:rPr>
          <w:rStyle w:val="CdigoHTML"/>
          <w:lang w:val="es-ES"/>
        </w:rPr>
        <w:t>EvaluadorAcciones</w:t>
      </w:r>
      <w:r>
        <w:rPr>
          <w:rFonts w:ascii="Arial" w:eastAsia="Times New Roman" w:hAnsi="Arial" w:cs="Arial"/>
          <w:lang w:val="es-ES"/>
        </w:rPr>
        <w:t>?</w:t>
      </w:r>
    </w:p>
    <w:p w14:paraId="3AC09957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C0: ¿La herramienta está registrada?</w:t>
      </w:r>
    </w:p>
    <w:p w14:paraId="09C76797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Si la herramienta no está en la política, se bloquea. Esto evita que el modelo pueda inventar o usar herramientas no autorizadas.</w:t>
      </w:r>
    </w:p>
    <w:p w14:paraId="41DDBC2F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C1: ¿El asistente tiene permiso?</w:t>
      </w:r>
    </w:p>
    <w:p w14:paraId="728936FB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Una herramienta puede estar permitida para el asistente, prohibida o reservada para una persona.</w:t>
      </w:r>
    </w:p>
    <w:p w14:paraId="150F2835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reembolsar → REQUIERE_HUMANO</w:t>
      </w:r>
    </w:p>
    <w:p w14:paraId="018637D3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enviarEmail → PROHIBIDA</w:t>
      </w:r>
    </w:p>
    <w:p w14:paraId="15184078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consultarSaldo → ASISTENTE</w:t>
      </w:r>
    </w:p>
    <w:p w14:paraId="5E6DF284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C2: ¿El cliente pidió esa acción?</w:t>
      </w:r>
    </w:p>
    <w:p w14:paraId="3AFD9CC4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Comprueba si el usuario realmente pidió algo relacionado con la herramienta. Si el usuario nunca pidió esa acción, PromptGuard puede bloquearla o pedir confirmación.</w:t>
      </w:r>
    </w:p>
    <w:p w14:paraId="2E73CF17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C3: ¿Los argumentos tienen un origen válido?</w:t>
      </w:r>
    </w:p>
    <w:p w14:paraId="2BDC6E90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Comprueba de dónde salió cada argumento. Un valor puede venir de lo que escribió el usuario, una herramienta confiable o una lista blanca. Un dato que apareció solamente en un documento recuperado por </w:t>
      </w:r>
      <w:r>
        <w:rPr>
          <w:rFonts w:ascii="Arial" w:hAnsi="Arial" w:cs="Arial"/>
          <w:color w:val="222222"/>
          <w:lang w:val="es-ES"/>
        </w:rPr>
        <w:lastRenderedPageBreak/>
        <w:t>RAG no se considera suficiente para ejecutar una acción sensible.</w:t>
      </w:r>
    </w:p>
    <w:p w14:paraId="428A4F8C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C4: ¿El contexto es confiable?</w:t>
      </w:r>
    </w:p>
    <w:p w14:paraId="4F1A8167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Si la herramienta es sensible y la información proviene de documentos no confiables, PromptGuard puede pedir confirmación humana.</w:t>
      </w:r>
    </w:p>
    <w:p w14:paraId="46E33A90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Documento externo + herramienta sensible → CONFIRMAR</w:t>
      </w:r>
    </w:p>
    <w:p w14:paraId="164A809B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 xml:space="preserve">2. Paquete </w:t>
      </w:r>
      <w:r>
        <w:rPr>
          <w:rStyle w:val="CdigoHTML"/>
          <w:lang w:val="es-ES"/>
        </w:rPr>
        <w:t>spring</w:t>
      </w:r>
      <w:r>
        <w:rPr>
          <w:rFonts w:ascii="Arial" w:eastAsia="Times New Roman" w:hAnsi="Arial" w:cs="Arial"/>
          <w:lang w:val="es-ES"/>
        </w:rPr>
        <w:t>: la conexión con la aplicación</w:t>
      </w:r>
    </w:p>
    <w:p w14:paraId="43346910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El paquete </w:t>
      </w:r>
      <w:r>
        <w:rPr>
          <w:rStyle w:val="CdigoHTML"/>
          <w:color w:val="222222"/>
          <w:lang w:val="es-ES"/>
        </w:rPr>
        <w:t>spring</w:t>
      </w:r>
      <w:r>
        <w:rPr>
          <w:rFonts w:ascii="Arial" w:hAnsi="Arial" w:cs="Arial"/>
          <w:color w:val="222222"/>
          <w:lang w:val="es-ES"/>
        </w:rPr>
        <w:t xml:space="preserve"> conecta el núcleo de seguridad con Spring Boot y Spring AI. Esta parte integra PromptGuard automáticamente en una aplicación existente.</w:t>
      </w:r>
    </w:p>
    <w:p w14:paraId="4CAF71D7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Autoconfiguración</w:t>
      </w:r>
    </w:p>
    <w:p w14:paraId="01AF1595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PromptGuardAutoConfiguration.java</w:t>
      </w:r>
      <w:r>
        <w:rPr>
          <w:rFonts w:ascii="Arial" w:hAnsi="Arial" w:cs="Arial"/>
          <w:color w:val="222222"/>
          <w:lang w:val="es-ES"/>
        </w:rPr>
        <w:t xml:space="preserve"> registra automáticamente los componentes necesarios. La aplicación solo necesita agregar la dependencia y configurar la política.</w:t>
      </w:r>
    </w:p>
    <w:p w14:paraId="34DBABC1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Descubrimiento de herramientas</w:t>
      </w:r>
    </w:p>
    <w:p w14:paraId="6A58CE8D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PromptGuardChatClientCustomizer.java</w:t>
      </w:r>
      <w:r>
        <w:rPr>
          <w:rFonts w:ascii="Arial" w:hAnsi="Arial" w:cs="Arial"/>
          <w:color w:val="222222"/>
          <w:lang w:val="es-ES"/>
        </w:rPr>
        <w:t xml:space="preserve"> </w:t>
      </w:r>
      <w:r>
        <w:rPr>
          <w:rFonts w:ascii="Arial" w:hAnsi="Arial" w:cs="Arial"/>
          <w:color w:val="222222"/>
          <w:lang w:val="es-ES"/>
        </w:rPr>
        <w:t xml:space="preserve">busca las herramientas disponibles en la aplicación. Puede encontrar métodos anotados con </w:t>
      </w:r>
      <w:r>
        <w:rPr>
          <w:rStyle w:val="CdigoHTML"/>
          <w:color w:val="222222"/>
          <w:lang w:val="es-ES"/>
        </w:rPr>
        <w:t>@Tool</w:t>
      </w:r>
      <w:r>
        <w:rPr>
          <w:rFonts w:ascii="Arial" w:hAnsi="Arial" w:cs="Arial"/>
          <w:color w:val="222222"/>
          <w:lang w:val="es-ES"/>
        </w:rPr>
        <w:t xml:space="preserve">, objetos </w:t>
      </w:r>
      <w:r>
        <w:rPr>
          <w:rStyle w:val="CdigoHTML"/>
          <w:color w:val="222222"/>
          <w:lang w:val="es-ES"/>
        </w:rPr>
        <w:t>ToolCallback</w:t>
      </w:r>
      <w:r>
        <w:rPr>
          <w:rFonts w:ascii="Arial" w:hAnsi="Arial" w:cs="Arial"/>
          <w:color w:val="222222"/>
          <w:lang w:val="es-ES"/>
        </w:rPr>
        <w:t xml:space="preserve"> y proveedores de herramientas.</w:t>
      </w:r>
    </w:p>
    <w:p w14:paraId="6BF8D3FB" w14:textId="77777777" w:rsidR="009E2941" w:rsidRDefault="009E2941">
      <w:pPr>
        <w:pStyle w:val="Ttulo3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Protección de herramientas</w:t>
      </w:r>
    </w:p>
    <w:p w14:paraId="43E93F71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ProtectedToolCallback.java</w:t>
      </w:r>
      <w:r>
        <w:rPr>
          <w:rFonts w:ascii="Arial" w:hAnsi="Arial" w:cs="Arial"/>
          <w:color w:val="222222"/>
          <w:lang w:val="es-ES"/>
        </w:rPr>
        <w:t xml:space="preserve"> envuelve cada herramienta para que su ejecución pase primero por PromptGuard.</w:t>
      </w:r>
    </w:p>
    <w:p w14:paraId="6633A43F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Llamada a la herramienta</w:t>
      </w:r>
    </w:p>
    <w:p w14:paraId="6630E8B0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7D5BA60A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ProtectedToolCallback</w:t>
      </w:r>
    </w:p>
    <w:p w14:paraId="3FFDC25F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0516905B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PromptGuardRuntime</w:t>
      </w:r>
    </w:p>
    <w:p w14:paraId="4DAC9E5E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72445589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EvaluadorAcciones</w:t>
      </w:r>
    </w:p>
    <w:p w14:paraId="42925D5C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↓</w:t>
      </w:r>
    </w:p>
    <w:p w14:paraId="04145E2E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Decisión</w:t>
      </w:r>
    </w:p>
    <w:p w14:paraId="1C6DB054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lastRenderedPageBreak/>
        <w:t xml:space="preserve">    ↓</w:t>
      </w:r>
    </w:p>
    <w:p w14:paraId="37124109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Ejecutar o bloquear</w:t>
      </w:r>
    </w:p>
    <w:p w14:paraId="5255CACA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El runtime</w:t>
      </w:r>
    </w:p>
    <w:p w14:paraId="40517D07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PromptGuardRuntime.java</w:t>
      </w:r>
      <w:r>
        <w:rPr>
          <w:rFonts w:ascii="Arial" w:hAnsi="Arial" w:cs="Arial"/>
          <w:color w:val="222222"/>
          <w:lang w:val="es-ES"/>
        </w:rPr>
        <w:t xml:space="preserve"> coordina todo el proceso:</w:t>
      </w:r>
    </w:p>
    <w:p w14:paraId="113640A0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Recibe la llamada del modelo.</w:t>
      </w:r>
    </w:p>
    <w:p w14:paraId="6959EDC0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Lee el nombre de la herramienta y sus argumentos.</w:t>
      </w:r>
    </w:p>
    <w:p w14:paraId="3A02BE5C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Obtiene el contexto de la conversación.</w:t>
      </w:r>
    </w:p>
    <w:p w14:paraId="164DA092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 xml:space="preserve">Llama a </w:t>
      </w:r>
      <w:r>
        <w:rPr>
          <w:rStyle w:val="CdigoHTML"/>
          <w:color w:val="222222"/>
          <w:lang w:val="es-ES"/>
        </w:rPr>
        <w:t>EvaluadorAcciones</w:t>
      </w:r>
      <w:r>
        <w:rPr>
          <w:rFonts w:ascii="Arial" w:eastAsia="Times New Roman" w:hAnsi="Arial" w:cs="Arial"/>
          <w:color w:val="222222"/>
          <w:lang w:val="es-ES"/>
        </w:rPr>
        <w:t>.</w:t>
      </w:r>
    </w:p>
    <w:p w14:paraId="3B15D004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Registra la decisión.</w:t>
      </w:r>
    </w:p>
    <w:p w14:paraId="4ED9EE29" w14:textId="77777777" w:rsidR="009E2941" w:rsidRDefault="009E2941">
      <w:pPr>
        <w:numPr>
          <w:ilvl w:val="0"/>
          <w:numId w:val="2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Ejecuta o rechaza la herramienta.</w:t>
      </w:r>
    </w:p>
    <w:p w14:paraId="19928A64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En otras palabras, </w:t>
      </w:r>
      <w:r>
        <w:rPr>
          <w:rStyle w:val="CdigoHTML"/>
          <w:color w:val="222222"/>
          <w:lang w:val="es-ES"/>
        </w:rPr>
        <w:t>EvaluadorAcciones</w:t>
      </w:r>
      <w:r>
        <w:rPr>
          <w:rFonts w:ascii="Arial" w:hAnsi="Arial" w:cs="Arial"/>
          <w:color w:val="222222"/>
          <w:lang w:val="es-ES"/>
        </w:rPr>
        <w:t xml:space="preserve"> decide y </w:t>
      </w:r>
      <w:r>
        <w:rPr>
          <w:rStyle w:val="CdigoHTML"/>
          <w:color w:val="222222"/>
          <w:lang w:val="es-ES"/>
        </w:rPr>
        <w:t>PromptGuardRuntime</w:t>
      </w:r>
      <w:r>
        <w:rPr>
          <w:rFonts w:ascii="Arial" w:hAnsi="Arial" w:cs="Arial"/>
          <w:color w:val="222222"/>
          <w:lang w:val="es-ES"/>
        </w:rPr>
        <w:t xml:space="preserve"> ejecuta esa decisión.</w:t>
      </w:r>
    </w:p>
    <w:p w14:paraId="25D3DC98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El contexto de la solicitud</w:t>
      </w:r>
    </w:p>
    <w:p w14:paraId="4BC28AE2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ContextoSolicitud.java</w:t>
      </w:r>
      <w:r>
        <w:rPr>
          <w:rFonts w:ascii="Arial" w:hAnsi="Arial" w:cs="Arial"/>
          <w:color w:val="222222"/>
          <w:lang w:val="es-ES"/>
        </w:rPr>
        <w:t xml:space="preserve"> guarda la información necesaria para evaluar una llamada:</w:t>
      </w:r>
    </w:p>
    <w:p w14:paraId="0156EDE0" w14:textId="77777777" w:rsidR="009E2941" w:rsidRDefault="009E2941">
      <w:pPr>
        <w:numPr>
          <w:ilvl w:val="0"/>
          <w:numId w:val="3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Los mensajes escritos por el usuario.</w:t>
      </w:r>
    </w:p>
    <w:p w14:paraId="7EF061D2" w14:textId="77777777" w:rsidR="009E2941" w:rsidRDefault="009E2941">
      <w:pPr>
        <w:numPr>
          <w:ilvl w:val="0"/>
          <w:numId w:val="3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Los documentos recuperados por el sistema RAG.</w:t>
      </w:r>
    </w:p>
    <w:p w14:paraId="66E59F03" w14:textId="77777777" w:rsidR="009E2941" w:rsidRDefault="009E2941">
      <w:pPr>
        <w:numPr>
          <w:ilvl w:val="0"/>
          <w:numId w:val="3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La procedencia de esos documentos.</w:t>
      </w:r>
    </w:p>
    <w:p w14:paraId="121226DC" w14:textId="77777777" w:rsidR="009E2941" w:rsidRDefault="009E2941">
      <w:pPr>
        <w:numPr>
          <w:ilvl w:val="0"/>
          <w:numId w:val="3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Fonts w:ascii="Arial" w:eastAsia="Times New Roman" w:hAnsi="Arial" w:cs="Arial"/>
          <w:color w:val="222222"/>
          <w:lang w:val="es-ES"/>
        </w:rPr>
        <w:t>Los resultados de herramientas confiables.</w:t>
      </w:r>
    </w:p>
    <w:p w14:paraId="5D69878F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Configuración</w:t>
      </w:r>
    </w:p>
    <w:p w14:paraId="34825749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La configuración se lee desde </w:t>
      </w:r>
      <w:r>
        <w:rPr>
          <w:rStyle w:val="CdigoHTML"/>
          <w:color w:val="222222"/>
          <w:lang w:val="es-ES"/>
        </w:rPr>
        <w:t>application.yaml</w:t>
      </w:r>
      <w:r>
        <w:rPr>
          <w:rFonts w:ascii="Arial" w:hAnsi="Arial" w:cs="Arial"/>
          <w:color w:val="222222"/>
          <w:lang w:val="es-ES"/>
        </w:rPr>
        <w:t xml:space="preserve"> o </w:t>
      </w:r>
      <w:r>
        <w:rPr>
          <w:rStyle w:val="CdigoHTML"/>
          <w:color w:val="222222"/>
          <w:lang w:val="es-ES"/>
        </w:rPr>
        <w:t>application.properties</w:t>
      </w:r>
      <w:r>
        <w:rPr>
          <w:rFonts w:ascii="Arial" w:hAnsi="Arial" w:cs="Arial"/>
          <w:color w:val="222222"/>
          <w:lang w:val="es-ES"/>
        </w:rPr>
        <w:t xml:space="preserve">, agrupada bajo </w:t>
      </w:r>
      <w:r>
        <w:rPr>
          <w:rStyle w:val="CdigoHTML"/>
          <w:color w:val="222222"/>
          <w:lang w:val="es-ES"/>
        </w:rPr>
        <w:t>promptguard</w:t>
      </w:r>
      <w:r>
        <w:rPr>
          <w:rFonts w:ascii="Arial" w:hAnsi="Arial" w:cs="Arial"/>
          <w:color w:val="222222"/>
          <w:lang w:val="es-ES"/>
        </w:rPr>
        <w:t>.</w:t>
      </w:r>
    </w:p>
    <w:p w14:paraId="075B594D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>promptguard:</w:t>
      </w:r>
    </w:p>
    <w:p w14:paraId="567D80EA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modo: enforce</w:t>
      </w:r>
    </w:p>
    <w:p w14:paraId="27C775B7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herramientas:</w:t>
      </w:r>
    </w:p>
    <w:p w14:paraId="29FBA5C1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consultarSaldo:</w:t>
      </w:r>
    </w:p>
    <w:p w14:paraId="3612A066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  autoridad: asistente</w:t>
      </w:r>
    </w:p>
    <w:p w14:paraId="03A0473E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enviarEmail:</w:t>
      </w:r>
    </w:p>
    <w:p w14:paraId="36D9D55D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  autoridad: prohibida</w:t>
      </w:r>
    </w:p>
    <w:p w14:paraId="5DDB2155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reembolsar:</w:t>
      </w:r>
    </w:p>
    <w:p w14:paraId="3A9A9DD5" w14:textId="77777777" w:rsidR="009E2941" w:rsidRDefault="009E2941">
      <w:pPr>
        <w:pStyle w:val="HTMLconformatoprevio"/>
        <w:divId w:val="1348487265"/>
        <w:rPr>
          <w:color w:val="222222"/>
          <w:lang w:val="es-ES"/>
        </w:rPr>
      </w:pPr>
      <w:r>
        <w:rPr>
          <w:color w:val="222222"/>
          <w:lang w:val="es-ES"/>
        </w:rPr>
        <w:t xml:space="preserve">      autoridad: requiere_humano</w:t>
      </w:r>
    </w:p>
    <w:p w14:paraId="58A5DA0E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Si una herramienta no aparece en la configuración, se bloquea automáticamente.</w:t>
      </w:r>
    </w:p>
    <w:p w14:paraId="6DAB3794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lastRenderedPageBreak/>
        <w:t>Confirmaciones humanas</w:t>
      </w:r>
    </w:p>
    <w:p w14:paraId="5C802991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 xml:space="preserve">Cuando una acción necesita confirmación, se guarda en </w:t>
      </w:r>
      <w:r>
        <w:rPr>
          <w:rStyle w:val="CdigoHTML"/>
          <w:color w:val="222222"/>
          <w:lang w:val="es-ES"/>
        </w:rPr>
        <w:t>AccionesPendientes.java</w:t>
      </w:r>
      <w:r>
        <w:rPr>
          <w:rFonts w:ascii="Arial" w:hAnsi="Arial" w:cs="Arial"/>
          <w:color w:val="222222"/>
          <w:lang w:val="es-ES"/>
        </w:rPr>
        <w:t>. La acción recibe un identificador, conserva sus argumentos originales, expira después de un tiempo y solo puede ejecutarse una vez.</w:t>
      </w:r>
    </w:p>
    <w:p w14:paraId="3BC782CE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Auditoría</w:t>
      </w:r>
    </w:p>
    <w:p w14:paraId="6FF1FE96" w14:textId="77777777" w:rsidR="009E2941" w:rsidRDefault="009E2941">
      <w:pPr>
        <w:pStyle w:val="NormalWeb"/>
        <w:divId w:val="1348487265"/>
        <w:rPr>
          <w:rFonts w:ascii="Arial" w:hAnsi="Arial" w:cs="Arial"/>
          <w:color w:val="222222"/>
          <w:lang w:val="es-ES"/>
        </w:rPr>
      </w:pPr>
      <w:r>
        <w:rPr>
          <w:rFonts w:ascii="Arial" w:hAnsi="Arial" w:cs="Arial"/>
          <w:color w:val="222222"/>
          <w:lang w:val="es-ES"/>
        </w:rPr>
        <w:t>PromptGuard registra qué herramienta se intentó usar, qué decisión se tomó, qué regla la bloqueó, si finalmente se ejecutó y cuánto tardó la evaluación. Los datos sensibles se ocultan antes de registrarse.</w:t>
      </w:r>
    </w:p>
    <w:p w14:paraId="31C0B3F5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Resumen de responsabilidades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5532"/>
      </w:tblGrid>
      <w:tr w:rsidR="00000000" w14:paraId="4DCB367F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8C49465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222222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shd w:val="clear" w:color="auto" w:fill="D9EAF7"/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87DD117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b/>
                <w:bCs/>
                <w:color w:val="222222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</w:rPr>
              <w:t>Responsabilidad</w:t>
            </w:r>
          </w:p>
        </w:tc>
      </w:tr>
      <w:tr w:rsidR="00000000" w14:paraId="254F2247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7F6897F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EvaluadorAcciones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18057B12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Decide si una llamada está permitida.</w:t>
            </w:r>
          </w:p>
        </w:tc>
      </w:tr>
      <w:tr w:rsidR="00000000" w14:paraId="23333892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67E2D53B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Politica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41B37AA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Define las reglas de cada herramienta.</w:t>
            </w:r>
          </w:p>
        </w:tc>
      </w:tr>
      <w:tr w:rsidR="00000000" w14:paraId="460C310D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0DFB46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ContextoSolicitud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66D9C26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Guarda los datos de la conversación y del RAG.</w:t>
            </w:r>
          </w:p>
        </w:tc>
      </w:tr>
      <w:tr w:rsidR="00000000" w14:paraId="36A6A7FB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CC291FE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PromptGuardRuntime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67A80C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Coordina la evaluación y la ejecución.</w:t>
            </w:r>
          </w:p>
        </w:tc>
      </w:tr>
      <w:tr w:rsidR="00000000" w14:paraId="05D179C5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28716EF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ProtectedToolCallback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387A4FF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Intercepta las llamadas a herramientas.</w:t>
            </w:r>
          </w:p>
        </w:tc>
      </w:tr>
      <w:tr w:rsidR="00000000" w14:paraId="2C682E68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03937B5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PromptGuardAdvisor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E1AFCFC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Agrega información del RAG al contexto.</w:t>
            </w:r>
          </w:p>
        </w:tc>
      </w:tr>
      <w:tr w:rsidR="00000000" w14:paraId="321D601F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33C923F9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PromptGuardAmbitoAdvisor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4675D947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Abre el contexto de la solicitud.</w:t>
            </w:r>
          </w:p>
        </w:tc>
      </w:tr>
      <w:tr w:rsidR="00000000" w14:paraId="3E7CCD43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BFD4B3F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AccionesPendientes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F3C7C64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Guarda acciones que esperan confirmación.</w:t>
            </w:r>
          </w:p>
        </w:tc>
      </w:tr>
      <w:tr w:rsidR="00000000" w14:paraId="7494D5DE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54DB6160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t>RegistroAuditoria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7F337823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Registra las decisiones.</w:t>
            </w:r>
          </w:p>
        </w:tc>
      </w:tr>
      <w:tr w:rsidR="00000000" w14:paraId="4CCAED1D" w14:textId="77777777">
        <w:trPr>
          <w:divId w:val="1348487265"/>
        </w:trPr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0CDD88EF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Style w:val="CdigoHTML"/>
                <w:color w:val="222222"/>
              </w:rPr>
              <w:lastRenderedPageBreak/>
              <w:t>PromptGuardProperties</w:t>
            </w:r>
          </w:p>
        </w:tc>
        <w:tc>
          <w:tcPr>
            <w:tcW w:w="0" w:type="auto"/>
            <w:tcBorders>
              <w:top w:val="single" w:sz="6" w:space="0" w:color="B7C9D6"/>
              <w:left w:val="single" w:sz="6" w:space="0" w:color="B7C9D6"/>
              <w:bottom w:val="single" w:sz="6" w:space="0" w:color="B7C9D6"/>
              <w:right w:val="single" w:sz="6" w:space="0" w:color="B7C9D6"/>
            </w:tcBorders>
            <w:tcMar>
              <w:top w:w="105" w:type="dxa"/>
              <w:left w:w="105" w:type="dxa"/>
              <w:bottom w:w="105" w:type="dxa"/>
              <w:right w:w="105" w:type="dxa"/>
            </w:tcMar>
            <w:hideMark/>
          </w:tcPr>
          <w:p w14:paraId="29DADFDD" w14:textId="77777777" w:rsidR="009E2941" w:rsidRDefault="009E2941">
            <w:pPr>
              <w:spacing w:before="150" w:after="150"/>
              <w:rPr>
                <w:rFonts w:ascii="Arial" w:eastAsia="Times New Roman" w:hAnsi="Arial" w:cs="Arial"/>
                <w:color w:val="222222"/>
              </w:rPr>
            </w:pPr>
            <w:r>
              <w:rPr>
                <w:rFonts w:ascii="Arial" w:eastAsia="Times New Roman" w:hAnsi="Arial" w:cs="Arial"/>
                <w:color w:val="222222"/>
              </w:rPr>
              <w:t>Representa la configuración YAML.</w:t>
            </w:r>
          </w:p>
        </w:tc>
      </w:tr>
    </w:tbl>
    <w:p w14:paraId="1FF7447C" w14:textId="77777777" w:rsidR="009E2941" w:rsidRDefault="009E2941">
      <w:pPr>
        <w:pStyle w:val="Ttulo2"/>
        <w:divId w:val="1348487265"/>
        <w:rPr>
          <w:rFonts w:ascii="Arial" w:eastAsia="Times New Roman" w:hAnsi="Arial" w:cs="Arial"/>
          <w:lang w:val="es-ES"/>
        </w:rPr>
      </w:pPr>
      <w:r>
        <w:rPr>
          <w:rFonts w:ascii="Arial" w:eastAsia="Times New Roman" w:hAnsi="Arial" w:cs="Arial"/>
          <w:lang w:val="es-ES"/>
        </w:rPr>
        <w:t>Cómo seguir el código</w:t>
      </w:r>
    </w:p>
    <w:p w14:paraId="6C0AFF71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EvaluadorAcciones.java</w:t>
      </w:r>
      <w:r>
        <w:rPr>
          <w:rFonts w:ascii="Arial" w:eastAsia="Times New Roman" w:hAnsi="Arial" w:cs="Arial"/>
          <w:color w:val="222222"/>
          <w:lang w:val="es-ES"/>
        </w:rPr>
        <w:t>: entender las reglas C0 a C4.</w:t>
      </w:r>
    </w:p>
    <w:p w14:paraId="7CF68D4E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Decision.java</w:t>
      </w:r>
      <w:r>
        <w:rPr>
          <w:rFonts w:ascii="Arial" w:eastAsia="Times New Roman" w:hAnsi="Arial" w:cs="Arial"/>
          <w:color w:val="222222"/>
          <w:lang w:val="es-ES"/>
        </w:rPr>
        <w:t>: ver los resultados posibles.</w:t>
      </w:r>
    </w:p>
    <w:p w14:paraId="1997E1E6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ContextoSolicitud.java</w:t>
      </w:r>
      <w:r>
        <w:rPr>
          <w:rFonts w:ascii="Arial" w:eastAsia="Times New Roman" w:hAnsi="Arial" w:cs="Arial"/>
          <w:color w:val="222222"/>
          <w:lang w:val="es-ES"/>
        </w:rPr>
        <w:t>: entender qué información usa el evaluador.</w:t>
      </w:r>
    </w:p>
    <w:p w14:paraId="72C1F211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PromptGuardRuntime.java</w:t>
      </w:r>
      <w:r>
        <w:rPr>
          <w:rFonts w:ascii="Arial" w:eastAsia="Times New Roman" w:hAnsi="Arial" w:cs="Arial"/>
          <w:color w:val="222222"/>
          <w:lang w:val="es-ES"/>
        </w:rPr>
        <w:t>: ver cómo se conecta la decisión con la ejecución.</w:t>
      </w:r>
    </w:p>
    <w:p w14:paraId="15707B40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ProtectedToolCallback.java</w:t>
      </w:r>
      <w:r>
        <w:rPr>
          <w:rFonts w:ascii="Arial" w:eastAsia="Times New Roman" w:hAnsi="Arial" w:cs="Arial"/>
          <w:color w:val="222222"/>
          <w:lang w:val="es-ES"/>
        </w:rPr>
        <w:t>: ver cómo se interceptan las herramientas.</w:t>
      </w:r>
    </w:p>
    <w:p w14:paraId="17351082" w14:textId="77777777" w:rsidR="009E2941" w:rsidRDefault="009E2941">
      <w:pPr>
        <w:numPr>
          <w:ilvl w:val="0"/>
          <w:numId w:val="4"/>
        </w:numPr>
        <w:spacing w:before="100" w:beforeAutospacing="1" w:after="100" w:afterAutospacing="1"/>
        <w:divId w:val="1348487265"/>
        <w:rPr>
          <w:rFonts w:ascii="Arial" w:eastAsia="Times New Roman" w:hAnsi="Arial" w:cs="Arial"/>
          <w:color w:val="222222"/>
          <w:lang w:val="es-ES"/>
        </w:rPr>
      </w:pPr>
      <w:r>
        <w:rPr>
          <w:rStyle w:val="CdigoHTML"/>
          <w:color w:val="222222"/>
          <w:lang w:val="es-ES"/>
        </w:rPr>
        <w:t>PromptGuardAutoConfiguration.java</w:t>
      </w:r>
      <w:r>
        <w:rPr>
          <w:rFonts w:ascii="Arial" w:eastAsia="Times New Roman" w:hAnsi="Arial" w:cs="Arial"/>
          <w:color w:val="222222"/>
          <w:lang w:val="es-ES"/>
        </w:rPr>
        <w:t>: entender cómo Spring registra todo automáticamente.</w:t>
      </w:r>
    </w:p>
    <w:p w14:paraId="69C6FEED" w14:textId="77777777" w:rsidR="009E2941" w:rsidRDefault="009E2941">
      <w:pPr>
        <w:shd w:val="clear" w:color="auto" w:fill="FFF2CC"/>
        <w:divId w:val="1836069663"/>
        <w:rPr>
          <w:rFonts w:ascii="Arial" w:eastAsia="Times New Roman" w:hAnsi="Arial" w:cs="Arial"/>
          <w:color w:val="222222"/>
          <w:lang w:val="es-ES"/>
        </w:rPr>
      </w:pPr>
      <w:r>
        <w:rPr>
          <w:rStyle w:val="Fuerte"/>
          <w:rFonts w:ascii="Arial" w:eastAsia="Times New Roman" w:hAnsi="Arial" w:cs="Arial"/>
          <w:color w:val="222222"/>
          <w:lang w:val="es-ES"/>
        </w:rPr>
        <w:t>Idea principal:</w:t>
      </w:r>
      <w:r>
        <w:rPr>
          <w:rFonts w:ascii="Arial" w:eastAsia="Times New Roman" w:hAnsi="Arial" w:cs="Arial"/>
          <w:color w:val="222222"/>
          <w:lang w:val="es-ES"/>
        </w:rPr>
        <w:t xml:space="preserve"> el paquete </w:t>
      </w:r>
      <w:r>
        <w:rPr>
          <w:rStyle w:val="CdigoHTML"/>
          <w:color w:val="222222"/>
          <w:lang w:val="es-ES"/>
        </w:rPr>
        <w:t>core</w:t>
      </w:r>
      <w:r>
        <w:rPr>
          <w:rFonts w:ascii="Arial" w:eastAsia="Times New Roman" w:hAnsi="Arial" w:cs="Arial"/>
          <w:color w:val="222222"/>
          <w:lang w:val="es-ES"/>
        </w:rPr>
        <w:t xml:space="preserve"> decide qué está permitido y el paquete </w:t>
      </w:r>
      <w:r>
        <w:rPr>
          <w:rStyle w:val="CdigoHTML"/>
          <w:color w:val="222222"/>
          <w:lang w:val="es-ES"/>
        </w:rPr>
        <w:t>spring</w:t>
      </w:r>
      <w:r>
        <w:rPr>
          <w:rFonts w:ascii="Arial" w:eastAsia="Times New Roman" w:hAnsi="Arial" w:cs="Arial"/>
          <w:color w:val="222222"/>
          <w:lang w:val="es-ES"/>
        </w:rPr>
        <w:t xml:space="preserve"> conecta esa decisión con las herramientas reales de la aplicación.</w:t>
      </w:r>
    </w:p>
    <w:sectPr w:rsidR="009E294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0A24"/>
    <w:multiLevelType w:val="multilevel"/>
    <w:tmpl w:val="56880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0378C"/>
    <w:multiLevelType w:val="multilevel"/>
    <w:tmpl w:val="51D4B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0A781A"/>
    <w:multiLevelType w:val="multilevel"/>
    <w:tmpl w:val="5A62D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6B5"/>
    <w:multiLevelType w:val="multilevel"/>
    <w:tmpl w:val="1A76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532177">
    <w:abstractNumId w:val="2"/>
  </w:num>
  <w:num w:numId="2" w16cid:durableId="357006668">
    <w:abstractNumId w:val="1"/>
  </w:num>
  <w:num w:numId="3" w16cid:durableId="442237440">
    <w:abstractNumId w:val="0"/>
  </w:num>
  <w:num w:numId="4" w16cid:durableId="17833795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34C1"/>
    <w:rsid w:val="004B662C"/>
    <w:rsid w:val="009E2941"/>
    <w:rsid w:val="00F43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F66849"/>
  <w15:chartTrackingRefBased/>
  <w15:docId w15:val="{F17A99F3-69C1-4E60-B39F-E45985289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419" w:eastAsia="es-419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7365D"/>
      <w:kern w:val="36"/>
      <w:sz w:val="48"/>
      <w:szCs w:val="48"/>
    </w:rPr>
  </w:style>
  <w:style w:type="paragraph" w:styleId="Ttulo2">
    <w:name w:val="heading 2"/>
    <w:basedOn w:val="Normal"/>
    <w:link w:val="Ttulo2Car"/>
    <w:uiPriority w:val="9"/>
    <w:qFormat/>
    <w:pPr>
      <w:pBdr>
        <w:bottom w:val="single" w:sz="6" w:space="3" w:color="B7C9D6"/>
      </w:pBdr>
      <w:spacing w:before="330" w:after="100" w:afterAutospacing="1"/>
      <w:outlineLvl w:val="1"/>
    </w:pPr>
    <w:rPr>
      <w:b/>
      <w:bCs/>
      <w:color w:val="1F4E79"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60"/>
      <w:outlineLvl w:val="2"/>
    </w:pPr>
    <w:rPr>
      <w:b/>
      <w:bCs/>
      <w:color w:val="365F91"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2F2F2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8" w:color="D9E1E8"/>
        <w:left w:val="single" w:sz="6" w:space="8" w:color="D9E1E8"/>
        <w:bottom w:val="single" w:sz="6" w:space="8" w:color="D9E1E8"/>
        <w:right w:val="single" w:sz="6" w:space="8" w:color="D9E1E8"/>
      </w:pBdr>
      <w:shd w:val="clear" w:color="auto" w:fill="F4F6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left w:val="single" w:sz="24" w:space="7" w:color="D6B656"/>
      </w:pBdr>
      <w:shd w:val="clear" w:color="auto" w:fill="FFF2CC"/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nfasis">
    <w:name w:val="Emphasis"/>
    <w:basedOn w:val="Fuentedeprrafopredeter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8487265">
      <w:bodyDiv w:val="1"/>
      <w:marLeft w:val="1247"/>
      <w:marRight w:val="1247"/>
      <w:marTop w:val="1247"/>
      <w:marBottom w:val="124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06966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7" w:color="D6B656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901</Words>
  <Characters>4960</Characters>
  <Application>Microsoft Office Word</Application>
  <DocSecurity>4</DocSecurity>
  <Lines>41</Lines>
  <Paragraphs>11</Paragraphs>
  <ScaleCrop>false</ScaleCrop>
  <Company/>
  <LinksUpToDate>false</LinksUpToDate>
  <CharactersWithSpaces>5850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de PromptGuard</dc:title>
  <dc:subject/>
  <dc:creator>Karim Jair Servin</dc:creator>
  <cp:keywords/>
  <dc:description/>
  <cp:lastModifiedBy>Karim Jair Servin</cp:lastModifiedBy>
  <cp:revision>2</cp:revision>
  <dcterms:created xsi:type="dcterms:W3CDTF">2026-10-29T00:59:00Z</dcterms:created>
  <dcterms:modified xsi:type="dcterms:W3CDTF">2026-10-29T00:59:00Z</dcterms:modified>
</cp:coreProperties>
</file>