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rFonts w:ascii="Calibri" w:cs="Calibri" w:eastAsia="Calibri" w:hAnsi="Calibri"/>
          <w:b/>
          <w:bCs/>
          <w:i w:val="false"/>
          <w:iCs w:val="false"/>
          <w:color w:val="1B2A4A"/>
          <w:sz w:val="40"/>
          <w:szCs w:val="40"/>
        </w:rPr>
        <w:t xml:space="preserve">CONTRAT DE MAINTENANCE</w:t>
      </w:r>
    </w:p>
    <w:p>
      <w:pPr>
        <w:spacing w:after="160" w:before="0"/>
      </w:pPr>
      <w:r>
        <w:rPr>
          <w:rFonts w:ascii="Calibri" w:cs="Calibri" w:eastAsia="Calibri" w:hAnsi="Calibri"/>
          <w:b w:val="false"/>
          <w:bCs w:val="false"/>
          <w:i w:val="false"/>
          <w:iCs w:val="false"/>
          <w:color w:val="C2410C"/>
          <w:sz w:val="24"/>
          <w:szCs w:val="24"/>
        </w:rPr>
        <w:t xml:space="preserve">Application SM Travel  —  smtravel.fr</w:t>
      </w:r>
    </w:p>
    <w:p>
      <w:pPr>
        <w:spacing w:after="160" w:before="40" w:line="276"/>
      </w:pPr>
      <w:r>
        <w:rPr>
          <w:rFonts w:ascii="Calibri" w:cs="Calibri" w:eastAsia="Calibri" w:hAnsi="Calibri"/>
          <w:b w:val="false"/>
          <w:bCs w:val="false"/>
          <w:i/>
          <w:iCs/>
          <w:color w:val="4B5563"/>
          <w:sz w:val="20"/>
          <w:szCs w:val="20"/>
        </w:rPr>
        <w:t xml:space="preserve">Établi à Tunis, le 22 octobre 2026. Ce document est un projet. Les mentions entre crochets se remplissent avant la signature. Il ne remplace pas l’avis d’un conseil juridique.</w:t>
      </w:r>
    </w:p>
    <w:p>
      <w:pPr>
        <w:pStyle w:val="Heading1"/>
        <w:pBdr>
          <w:bottom w:val="single" w:color="C2410C" w:sz="8" w:space="1"/>
        </w:pBdr>
        <w:spacing w:after="120" w:before="280"/>
      </w:pPr>
      <w:r>
        <w:rPr>
          <w:rFonts w:ascii="Calibri" w:cs="Calibri" w:eastAsia="Calibri" w:hAnsi="Calibri"/>
          <w:b/>
          <w:bCs/>
          <w:color w:val="1B2A4A"/>
          <w:sz w:val="26"/>
          <w:szCs w:val="26"/>
        </w:rPr>
        <w:t xml:space="preserve">1.  Les parties</w:t>
      </w:r>
    </w:p>
    <w:p>
      <w:pPr>
        <w:spacing w:after="80" w:before="80" w:line="276"/>
      </w:pPr>
      <w:r>
        <w:rPr>
          <w:rFonts w:ascii="Calibri" w:cs="Calibri" w:eastAsia="Calibri" w:hAnsi="Calibri"/>
          <w:b w:val="false"/>
          <w:bCs w:val="false"/>
          <w:i w:val="false"/>
          <w:iCs w:val="false"/>
          <w:color w:val="1F2937"/>
          <w:sz w:val="22"/>
          <w:szCs w:val="22"/>
        </w:rPr>
        <w:t xml:space="preserve">Entre les soussignés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E5E7EB" w:sz="4"/>
              <w:left w:val="single" w:color="E5E7EB" w:sz="4"/>
              <w:bottom w:val="single" w:color="E5E7EB" w:sz="4"/>
              <w:right w:val="single" w:color="E5E7EB" w:sz="4"/>
            </w:tcBorders>
            <w:shd w:fill="FFF7ED" w:val="clear"/>
            <w:tcMar>
              <w:top w:type="dxa" w:w="80"/>
              <w:left w:type="dxa" w:w="120"/>
              <w:bottom w:type="dxa" w:w="80"/>
              <w:right w:type="dxa" w:w="120"/>
            </w:tcMar>
            <w:vAlign w:val="top"/>
          </w:tcPr>
          <w:p>
            <w:pPr>
              <w:spacing w:after="80"/>
            </w:pPr>
            <w:r>
              <w:rPr>
                <w:rFonts w:ascii="Calibri" w:cs="Calibri" w:eastAsia="Calibri" w:hAnsi="Calibri"/>
                <w:b/>
                <w:bCs/>
                <w:i w:val="false"/>
                <w:iCs w:val="false"/>
                <w:color w:val="C2410C"/>
                <w:sz w:val="20"/>
                <w:szCs w:val="20"/>
              </w:rPr>
              <w:t xml:space="preserve">LE CLIENT</w:t>
            </w:r>
          </w:p>
          <w:p>
            <w:pPr>
              <w:spacing w:after="40" w:before="40" w:line="240"/>
            </w:pPr>
            <w:r>
              <w:rPr>
                <w:rFonts w:ascii="Calibri" w:cs="Calibri" w:eastAsia="Calibri" w:hAnsi="Calibri"/>
                <w:b/>
                <w:bCs/>
                <w:i w:val="false"/>
                <w:iCs w:val="false"/>
                <w:color w:val="1B2A4A"/>
                <w:sz w:val="20"/>
                <w:szCs w:val="20"/>
              </w:rPr>
              <w:t xml:space="preserve">Société  </w:t>
            </w:r>
            <w:r>
              <w:rPr>
                <w:rFonts w:ascii="Calibri" w:cs="Calibri" w:eastAsia="Calibri" w:hAnsi="Calibri"/>
                <w:b w:val="false"/>
                <w:bCs w:val="false"/>
                <w:i w:val="false"/>
                <w:iCs w:val="false"/>
                <w:color w:val="1F2937"/>
                <w:sz w:val="20"/>
                <w:szCs w:val="20"/>
              </w:rPr>
              <w:t xml:space="preserve">SM services &amp; consulting</w:t>
            </w:r>
          </w:p>
          <w:p>
            <w:pPr>
              <w:spacing w:after="40" w:before="40" w:line="240"/>
            </w:pPr>
            <w:r>
              <w:rPr>
                <w:rFonts w:ascii="Calibri" w:cs="Calibri" w:eastAsia="Calibri" w:hAnsi="Calibri"/>
                <w:b/>
                <w:bCs/>
                <w:i w:val="false"/>
                <w:iCs w:val="false"/>
                <w:color w:val="1B2A4A"/>
                <w:sz w:val="20"/>
                <w:szCs w:val="20"/>
              </w:rPr>
              <w:t xml:space="preserve">Forme  </w:t>
            </w:r>
            <w:r>
              <w:rPr>
                <w:rFonts w:ascii="Calibri" w:cs="Calibri" w:eastAsia="Calibri" w:hAnsi="Calibri"/>
                <w:b w:val="false"/>
                <w:bCs w:val="false"/>
                <w:i w:val="false"/>
                <w:iCs w:val="false"/>
                <w:color w:val="1F2937"/>
                <w:sz w:val="20"/>
                <w:szCs w:val="20"/>
              </w:rPr>
              <w:t xml:space="preserve">SARL</w:t>
            </w:r>
          </w:p>
          <w:p>
            <w:pPr>
              <w:spacing w:after="40" w:before="40" w:line="240"/>
            </w:pPr>
            <w:r>
              <w:rPr>
                <w:rFonts w:ascii="Calibri" w:cs="Calibri" w:eastAsia="Calibri" w:hAnsi="Calibri"/>
                <w:b/>
                <w:bCs/>
                <w:i w:val="false"/>
                <w:iCs w:val="false"/>
                <w:color w:val="1B2A4A"/>
                <w:sz w:val="20"/>
                <w:szCs w:val="20"/>
              </w:rPr>
              <w:t xml:space="preserve">Marque  </w:t>
            </w:r>
            <w:r>
              <w:rPr>
                <w:rFonts w:ascii="Calibri" w:cs="Calibri" w:eastAsia="Calibri" w:hAnsi="Calibri"/>
                <w:b w:val="false"/>
                <w:bCs w:val="false"/>
                <w:i w:val="false"/>
                <w:iCs w:val="false"/>
                <w:color w:val="1F2937"/>
                <w:sz w:val="20"/>
                <w:szCs w:val="20"/>
              </w:rPr>
              <w:t xml:space="preserve">SM Travel</w:t>
            </w:r>
          </w:p>
          <w:p>
            <w:pPr>
              <w:spacing w:after="40" w:before="40" w:line="240"/>
            </w:pPr>
            <w:r>
              <w:rPr>
                <w:rFonts w:ascii="Calibri" w:cs="Calibri" w:eastAsia="Calibri" w:hAnsi="Calibri"/>
                <w:b/>
                <w:bCs/>
                <w:i w:val="false"/>
                <w:iCs w:val="false"/>
                <w:color w:val="1B2A4A"/>
                <w:sz w:val="20"/>
                <w:szCs w:val="20"/>
              </w:rPr>
              <w:t xml:space="preserve">Matricule fiscal  </w:t>
            </w:r>
            <w:r>
              <w:rPr>
                <w:rFonts w:ascii="Calibri" w:cs="Calibri" w:eastAsia="Calibri" w:hAnsi="Calibri"/>
                <w:b w:val="false"/>
                <w:bCs w:val="false"/>
                <w:i w:val="false"/>
                <w:iCs w:val="false"/>
                <w:color w:val="1F2937"/>
                <w:sz w:val="20"/>
                <w:szCs w:val="20"/>
              </w:rPr>
              <w:t xml:space="preserve">1915331L</w:t>
            </w:r>
          </w:p>
          <w:p>
            <w:pPr>
              <w:spacing w:after="40" w:before="40" w:line="240"/>
            </w:pPr>
            <w:r>
              <w:rPr>
                <w:rFonts w:ascii="Calibri" w:cs="Calibri" w:eastAsia="Calibri" w:hAnsi="Calibri"/>
                <w:b/>
                <w:bCs/>
                <w:i w:val="false"/>
                <w:iCs w:val="false"/>
                <w:color w:val="1B2A4A"/>
                <w:sz w:val="20"/>
                <w:szCs w:val="20"/>
              </w:rPr>
              <w:t xml:space="preserve">Adresse  </w:t>
            </w:r>
            <w:r>
              <w:rPr>
                <w:rFonts w:ascii="Calibri" w:cs="Calibri" w:eastAsia="Calibri" w:hAnsi="Calibri"/>
                <w:b w:val="false"/>
                <w:bCs w:val="false"/>
                <w:i w:val="false"/>
                <w:iCs w:val="false"/>
                <w:color w:val="1F2937"/>
                <w:sz w:val="20"/>
                <w:szCs w:val="20"/>
              </w:rPr>
              <w:t xml:space="preserve">4 Bis Rue du Mali, 4e étage, bureau n° 4, Jeanne d’Arc, Tunis 1002, Tunisie</w:t>
            </w:r>
          </w:p>
          <w:p>
            <w:pPr>
              <w:spacing w:after="40" w:before="40" w:line="240"/>
            </w:pPr>
            <w:r>
              <w:rPr>
                <w:rFonts w:ascii="Calibri" w:cs="Calibri" w:eastAsia="Calibri" w:hAnsi="Calibri"/>
                <w:b/>
                <w:bCs/>
                <w:i w:val="false"/>
                <w:iCs w:val="false"/>
                <w:color w:val="1B2A4A"/>
                <w:sz w:val="20"/>
                <w:szCs w:val="20"/>
              </w:rPr>
              <w:t xml:space="preserve">Téléphone  </w:t>
            </w:r>
            <w:r>
              <w:rPr>
                <w:rFonts w:ascii="Calibri" w:cs="Calibri" w:eastAsia="Calibri" w:hAnsi="Calibri"/>
                <w:b w:val="false"/>
                <w:bCs w:val="false"/>
                <w:i w:val="false"/>
                <w:iCs w:val="false"/>
                <w:color w:val="1F2937"/>
                <w:sz w:val="20"/>
                <w:szCs w:val="20"/>
              </w:rPr>
              <w:t xml:space="preserve">+216 54 819 879</w:t>
            </w:r>
          </w:p>
          <w:p>
            <w:pPr>
              <w:spacing w:after="40" w:before="40" w:line="240"/>
            </w:pPr>
            <w:r>
              <w:rPr>
                <w:rFonts w:ascii="Calibri" w:cs="Calibri" w:eastAsia="Calibri" w:hAnsi="Calibri"/>
                <w:b/>
                <w:bCs/>
                <w:i w:val="false"/>
                <w:iCs w:val="false"/>
                <w:color w:val="1B2A4A"/>
                <w:sz w:val="20"/>
                <w:szCs w:val="20"/>
              </w:rPr>
              <w:t xml:space="preserve">E-mail  </w:t>
            </w:r>
            <w:r>
              <w:rPr>
                <w:rFonts w:ascii="Calibri" w:cs="Calibri" w:eastAsia="Calibri" w:hAnsi="Calibri"/>
                <w:b w:val="false"/>
                <w:bCs w:val="false"/>
                <w:i w:val="false"/>
                <w:iCs w:val="false"/>
                <w:color w:val="1F2937"/>
                <w:sz w:val="20"/>
                <w:szCs w:val="20"/>
              </w:rPr>
              <w:t xml:space="preserve">services@smtravel.fr</w:t>
            </w:r>
          </w:p>
          <w:p>
            <w:pPr>
              <w:spacing w:after="40" w:before="40" w:line="240"/>
            </w:pPr>
            <w:r>
              <w:rPr>
                <w:rFonts w:ascii="Calibri" w:cs="Calibri" w:eastAsia="Calibri" w:hAnsi="Calibri"/>
                <w:b/>
                <w:bCs/>
                <w:i w:val="false"/>
                <w:iCs w:val="false"/>
                <w:color w:val="1B2A4A"/>
                <w:sz w:val="20"/>
                <w:szCs w:val="20"/>
              </w:rPr>
              <w:t xml:space="preserve">Représentée par  </w:t>
            </w:r>
            <w:r>
              <w:rPr>
                <w:rFonts w:ascii="Calibri" w:cs="Calibri" w:eastAsia="Calibri" w:hAnsi="Calibri"/>
                <w:b w:val="false"/>
                <w:bCs w:val="false"/>
                <w:i w:val="false"/>
                <w:iCs w:val="false"/>
                <w:color w:val="1F2937"/>
                <w:sz w:val="20"/>
                <w:szCs w:val="20"/>
              </w:rPr>
              <w:t xml:space="preserve">[nom, prénom, qualité]</w:t>
            </w:r>
          </w:p>
        </w:tc>
        <w:tc>
          <w:tcPr>
            <w:tcW w:type="dxa" w:w="4819"/>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vAlign w:val="top"/>
          </w:tcPr>
          <w:p>
            <w:pPr>
              <w:spacing w:after="80"/>
            </w:pPr>
            <w:r>
              <w:rPr>
                <w:rFonts w:ascii="Calibri" w:cs="Calibri" w:eastAsia="Calibri" w:hAnsi="Calibri"/>
                <w:b/>
                <w:bCs/>
                <w:i w:val="false"/>
                <w:iCs w:val="false"/>
                <w:color w:val="1B2A4A"/>
                <w:sz w:val="20"/>
                <w:szCs w:val="20"/>
              </w:rPr>
              <w:t xml:space="preserve">LE PRESTATAIRE</w:t>
            </w:r>
          </w:p>
          <w:p>
            <w:pPr>
              <w:spacing w:after="40" w:before="40" w:line="240"/>
            </w:pPr>
            <w:r>
              <w:rPr>
                <w:rFonts w:ascii="Calibri" w:cs="Calibri" w:eastAsia="Calibri" w:hAnsi="Calibri"/>
                <w:b/>
                <w:bCs/>
                <w:i w:val="false"/>
                <w:iCs w:val="false"/>
                <w:color w:val="1B2A4A"/>
                <w:sz w:val="20"/>
                <w:szCs w:val="20"/>
              </w:rPr>
              <w:t xml:space="preserve">Dénomination  </w:t>
            </w:r>
            <w:r>
              <w:rPr>
                <w:rFonts w:ascii="Calibri" w:cs="Calibri" w:eastAsia="Calibri" w:hAnsi="Calibri"/>
                <w:b w:val="false"/>
                <w:bCs w:val="false"/>
                <w:i w:val="false"/>
                <w:iCs w:val="false"/>
                <w:color w:val="1F2937"/>
                <w:sz w:val="20"/>
                <w:szCs w:val="20"/>
              </w:rPr>
              <w:t xml:space="preserve">[à compléter]</w:t>
            </w:r>
          </w:p>
          <w:p>
            <w:pPr>
              <w:spacing w:after="40" w:before="40" w:line="240"/>
            </w:pPr>
            <w:r>
              <w:rPr>
                <w:rFonts w:ascii="Calibri" w:cs="Calibri" w:eastAsia="Calibri" w:hAnsi="Calibri"/>
                <w:b/>
                <w:bCs/>
                <w:i w:val="false"/>
                <w:iCs w:val="false"/>
                <w:color w:val="1B2A4A"/>
                <w:sz w:val="20"/>
                <w:szCs w:val="20"/>
              </w:rPr>
              <w:t xml:space="preserve">Forme  </w:t>
            </w:r>
            <w:r>
              <w:rPr>
                <w:rFonts w:ascii="Calibri" w:cs="Calibri" w:eastAsia="Calibri" w:hAnsi="Calibri"/>
                <w:b w:val="false"/>
                <w:bCs w:val="false"/>
                <w:i w:val="false"/>
                <w:iCs w:val="false"/>
                <w:color w:val="1F2937"/>
                <w:sz w:val="20"/>
                <w:szCs w:val="20"/>
              </w:rPr>
              <w:t xml:space="preserve">[à compléter]</w:t>
            </w:r>
          </w:p>
          <w:p>
            <w:pPr>
              <w:spacing w:after="40" w:before="40" w:line="240"/>
            </w:pPr>
            <w:r>
              <w:rPr>
                <w:rFonts w:ascii="Calibri" w:cs="Calibri" w:eastAsia="Calibri" w:hAnsi="Calibri"/>
                <w:b/>
                <w:bCs/>
                <w:i w:val="false"/>
                <w:iCs w:val="false"/>
                <w:color w:val="1B2A4A"/>
                <w:sz w:val="20"/>
                <w:szCs w:val="20"/>
              </w:rPr>
              <w:t xml:space="preserve">Matricule fiscal  </w:t>
            </w:r>
            <w:r>
              <w:rPr>
                <w:rFonts w:ascii="Calibri" w:cs="Calibri" w:eastAsia="Calibri" w:hAnsi="Calibri"/>
                <w:b w:val="false"/>
                <w:bCs w:val="false"/>
                <w:i w:val="false"/>
                <w:iCs w:val="false"/>
                <w:color w:val="1F2937"/>
                <w:sz w:val="20"/>
                <w:szCs w:val="20"/>
              </w:rPr>
              <w:t xml:space="preserve">[à compléter]</w:t>
            </w:r>
          </w:p>
          <w:p>
            <w:pPr>
              <w:spacing w:after="40" w:before="40" w:line="240"/>
            </w:pPr>
            <w:r>
              <w:rPr>
                <w:rFonts w:ascii="Calibri" w:cs="Calibri" w:eastAsia="Calibri" w:hAnsi="Calibri"/>
                <w:b/>
                <w:bCs/>
                <w:i w:val="false"/>
                <w:iCs w:val="false"/>
                <w:color w:val="1B2A4A"/>
                <w:sz w:val="20"/>
                <w:szCs w:val="20"/>
              </w:rPr>
              <w:t xml:space="preserve">Adresse  </w:t>
            </w:r>
            <w:r>
              <w:rPr>
                <w:rFonts w:ascii="Calibri" w:cs="Calibri" w:eastAsia="Calibri" w:hAnsi="Calibri"/>
                <w:b w:val="false"/>
                <w:bCs w:val="false"/>
                <w:i w:val="false"/>
                <w:iCs w:val="false"/>
                <w:color w:val="1F2937"/>
                <w:sz w:val="20"/>
                <w:szCs w:val="20"/>
              </w:rPr>
              <w:t xml:space="preserve">[à compléter]</w:t>
            </w:r>
          </w:p>
          <w:p>
            <w:pPr>
              <w:spacing w:after="40" w:before="40" w:line="240"/>
            </w:pPr>
            <w:r>
              <w:rPr>
                <w:rFonts w:ascii="Calibri" w:cs="Calibri" w:eastAsia="Calibri" w:hAnsi="Calibri"/>
                <w:b/>
                <w:bCs/>
                <w:i w:val="false"/>
                <w:iCs w:val="false"/>
                <w:color w:val="1B2A4A"/>
                <w:sz w:val="20"/>
                <w:szCs w:val="20"/>
              </w:rPr>
              <w:t xml:space="preserve">Téléphone  </w:t>
            </w:r>
            <w:r>
              <w:rPr>
                <w:rFonts w:ascii="Calibri" w:cs="Calibri" w:eastAsia="Calibri" w:hAnsi="Calibri"/>
                <w:b w:val="false"/>
                <w:bCs w:val="false"/>
                <w:i w:val="false"/>
                <w:iCs w:val="false"/>
                <w:color w:val="1F2937"/>
                <w:sz w:val="20"/>
                <w:szCs w:val="20"/>
              </w:rPr>
              <w:t xml:space="preserve">[à compléter]</w:t>
            </w:r>
          </w:p>
          <w:p>
            <w:pPr>
              <w:spacing w:after="40" w:before="40" w:line="240"/>
            </w:pPr>
            <w:r>
              <w:rPr>
                <w:rFonts w:ascii="Calibri" w:cs="Calibri" w:eastAsia="Calibri" w:hAnsi="Calibri"/>
                <w:b/>
                <w:bCs/>
                <w:i w:val="false"/>
                <w:iCs w:val="false"/>
                <w:color w:val="1B2A4A"/>
                <w:sz w:val="20"/>
                <w:szCs w:val="20"/>
              </w:rPr>
              <w:t xml:space="preserve">E-mail  </w:t>
            </w:r>
            <w:r>
              <w:rPr>
                <w:rFonts w:ascii="Calibri" w:cs="Calibri" w:eastAsia="Calibri" w:hAnsi="Calibri"/>
                <w:b w:val="false"/>
                <w:bCs w:val="false"/>
                <w:i w:val="false"/>
                <w:iCs w:val="false"/>
                <w:color w:val="1F2937"/>
                <w:sz w:val="20"/>
                <w:szCs w:val="20"/>
              </w:rPr>
              <w:t xml:space="preserve">[à compléter]</w:t>
            </w:r>
          </w:p>
          <w:p>
            <w:pPr>
              <w:spacing w:after="40" w:before="40" w:line="240"/>
            </w:pPr>
            <w:r>
              <w:rPr>
                <w:rFonts w:ascii="Calibri" w:cs="Calibri" w:eastAsia="Calibri" w:hAnsi="Calibri"/>
                <w:b/>
                <w:bCs/>
                <w:i w:val="false"/>
                <w:iCs w:val="false"/>
                <w:color w:val="1B2A4A"/>
                <w:sz w:val="20"/>
                <w:szCs w:val="20"/>
              </w:rPr>
              <w:t xml:space="preserve">Représenté par  </w:t>
            </w:r>
            <w:r>
              <w:rPr>
                <w:rFonts w:ascii="Calibri" w:cs="Calibri" w:eastAsia="Calibri" w:hAnsi="Calibri"/>
                <w:b w:val="false"/>
                <w:bCs w:val="false"/>
                <w:i w:val="false"/>
                <w:iCs w:val="false"/>
                <w:color w:val="1F2937"/>
                <w:sz w:val="20"/>
                <w:szCs w:val="20"/>
              </w:rPr>
              <w:t xml:space="preserve">[nom, prénom, qualité]</w:t>
            </w:r>
          </w:p>
        </w:tc>
      </w:tr>
    </w:tbl>
    <w:p>
      <w:pPr>
        <w:spacing w:after="80" w:before="140" w:line="276"/>
      </w:pPr>
      <w:r>
        <w:rPr>
          <w:rFonts w:ascii="Calibri" w:cs="Calibri" w:eastAsia="Calibri" w:hAnsi="Calibri"/>
          <w:b w:val="false"/>
          <w:bCs w:val="false"/>
          <w:i w:val="false"/>
          <w:iCs w:val="false"/>
          <w:color w:val="1F2937"/>
          <w:sz w:val="22"/>
          <w:szCs w:val="22"/>
        </w:rPr>
        <w:t xml:space="preserve">Le Client exploite la plateforme SM Travel. Le Prestataire assure sa maintenance. Ensemble, ils sont « les Parties ».</w:t>
      </w:r>
    </w:p>
    <w:p>
      <w:pPr>
        <w:pStyle w:val="Heading1"/>
        <w:pBdr>
          <w:bottom w:val="single" w:color="C2410C" w:sz="8" w:space="1"/>
        </w:pBdr>
        <w:spacing w:after="120" w:before="280"/>
      </w:pPr>
      <w:r>
        <w:rPr>
          <w:rFonts w:ascii="Calibri" w:cs="Calibri" w:eastAsia="Calibri" w:hAnsi="Calibri"/>
          <w:b/>
          <w:bCs/>
          <w:color w:val="1B2A4A"/>
          <w:sz w:val="26"/>
          <w:szCs w:val="26"/>
        </w:rPr>
        <w:t xml:space="preserve">2.  Objet</w:t>
      </w:r>
    </w:p>
    <w:p>
      <w:pPr>
        <w:spacing w:after="80" w:before="80" w:line="276"/>
      </w:pPr>
      <w:r>
        <w:rPr>
          <w:rFonts w:ascii="Calibri" w:cs="Calibri" w:eastAsia="Calibri" w:hAnsi="Calibri"/>
          <w:b w:val="false"/>
          <w:bCs w:val="false"/>
          <w:i w:val="false"/>
          <w:iCs w:val="false"/>
          <w:color w:val="1F2937"/>
          <w:sz w:val="22"/>
          <w:szCs w:val="22"/>
        </w:rPr>
        <w:t xml:space="preserve">Le présent contrat confie au Prestataire la maintenance de l’application SM Travel déjà en service à l’adresse https://www.smtravel.fr, afin d’en préserver le fonctionnement, la sécurité et l’usage quotidien par l’agence.</w:t>
      </w:r>
    </w:p>
    <w:p>
      <w:pPr>
        <w:spacing w:after="80" w:before="80" w:line="276"/>
      </w:pPr>
      <w:r>
        <w:rPr>
          <w:rFonts w:ascii="Calibri" w:cs="Calibri" w:eastAsia="Calibri" w:hAnsi="Calibri"/>
          <w:b w:val="false"/>
          <w:bCs w:val="false"/>
          <w:i w:val="false"/>
          <w:iCs w:val="false"/>
          <w:color w:val="1F2937"/>
          <w:sz w:val="22"/>
          <w:szCs w:val="22"/>
        </w:rPr>
        <w:t xml:space="preserve">La maintenance porte sur le logiciel tel qu’il existe à la date de signature : site vitrine, espaces étudiant, conseiller, responsable dossier et administrateur, finance et commissions, ressources humaines (employés, congés, présences, paie, absences et attestations), messagerie WhatsApp de l’agence, mail de l’agence, notifications et paramètres.</w:t>
      </w:r>
    </w:p>
    <w:p>
      <w:pPr>
        <w:spacing w:after="80" w:before="80" w:line="276"/>
      </w:pPr>
      <w:r>
        <w:rPr>
          <w:rFonts w:ascii="Calibri" w:cs="Calibri" w:eastAsia="Calibri" w:hAnsi="Calibri"/>
          <w:b w:val="false"/>
          <w:bCs w:val="false"/>
          <w:i w:val="false"/>
          <w:iCs w:val="false"/>
          <w:color w:val="1F2937"/>
          <w:sz w:val="22"/>
          <w:szCs w:val="22"/>
        </w:rPr>
        <w:t xml:space="preserve">Une évolution nouvelle, un nouveau module ou une refonte fait l’objet d’un devis séparé. Elle n’est pas comprise dans le forfait.</w:t>
      </w:r>
    </w:p>
    <w:p>
      <w:pPr>
        <w:pStyle w:val="Heading1"/>
        <w:pBdr>
          <w:bottom w:val="single" w:color="C2410C" w:sz="8" w:space="1"/>
        </w:pBdr>
        <w:spacing w:after="120" w:before="280"/>
      </w:pPr>
      <w:r>
        <w:rPr>
          <w:rFonts w:ascii="Calibri" w:cs="Calibri" w:eastAsia="Calibri" w:hAnsi="Calibri"/>
          <w:b/>
          <w:bCs/>
          <w:color w:val="1B2A4A"/>
          <w:sz w:val="26"/>
          <w:szCs w:val="26"/>
        </w:rPr>
        <w:t xml:space="preserve">3.  Prestations comprises</w:t>
      </w:r>
    </w:p>
    <w:p>
      <w:pPr>
        <w:spacing w:after="80" w:before="80" w:line="276"/>
      </w:pPr>
      <w:r>
        <w:rPr>
          <w:rFonts w:ascii="Calibri" w:cs="Calibri" w:eastAsia="Calibri" w:hAnsi="Calibri"/>
          <w:b w:val="false"/>
          <w:bCs w:val="false"/>
          <w:i w:val="false"/>
          <w:iCs w:val="false"/>
          <w:color w:val="1F2937"/>
          <w:sz w:val="22"/>
          <w:szCs w:val="22"/>
        </w:rPr>
        <w:t xml:space="preserve">Pendant la durée du contrat, le Prestataire assure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la correction des anomalies qui empêchent une fonction existante de produire le résultat prévu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la prise en charge des demandes selon les délais de l’article 5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les mises à jour de sécurité des composants de l’application, lorsqu’elles peuvent être appliquées sans changer le fonctionnement convenu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une vérification mensuelle que l’application répond et que les sauvegardes prévues sont bien produites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l’assistance à l’administrateur de l’agence pour l’usage des écrans existants, dans la limite de deux heures par mois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un court compte rendu mensuel : incidents traités, points ouverts, sauvegarde constatée.</w:t>
      </w:r>
    </w:p>
    <w:p>
      <w:pPr>
        <w:spacing w:after="80" w:before="80" w:line="276"/>
      </w:pPr>
      <w:r>
        <w:rPr>
          <w:rFonts w:ascii="Calibri" w:cs="Calibri" w:eastAsia="Calibri" w:hAnsi="Calibri"/>
          <w:b w:val="false"/>
          <w:bCs w:val="false"/>
          <w:i w:val="false"/>
          <w:iCs w:val="false"/>
          <w:color w:val="1F2937"/>
          <w:sz w:val="22"/>
          <w:szCs w:val="22"/>
        </w:rPr>
        <w:t xml:space="preserve">Les heures d’assistance non utilisées ne sont pas reportées. Au-delà de deux heures, le temps supplémentaire est facturé au taux indiqué à l’article 7, après accord écrit du Client.</w:t>
      </w:r>
    </w:p>
    <w:p>
      <w:pPr>
        <w:pStyle w:val="Heading1"/>
        <w:pBdr>
          <w:bottom w:val="single" w:color="C2410C" w:sz="8" w:space="1"/>
        </w:pBdr>
        <w:spacing w:after="120" w:before="280"/>
      </w:pPr>
      <w:r>
        <w:rPr>
          <w:rFonts w:ascii="Calibri" w:cs="Calibri" w:eastAsia="Calibri" w:hAnsi="Calibri"/>
          <w:b/>
          <w:bCs/>
          <w:color w:val="1B2A4A"/>
          <w:sz w:val="26"/>
          <w:szCs w:val="26"/>
        </w:rPr>
        <w:t xml:space="preserve">4.  Ce qui n’est pas compris</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la création de fonctions, d’écrans ou de documents qui n’existent pas à la signature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le coût de l’hébergement, du nom de domaine, des certificats, de WhatsApp (Meta), de la messagerie et de tout service payé à un tiers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la saisie des dossiers, des paiements, des salaires et des contenus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la formation du personnel au-delà des deux heures mensuelles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la réparation d’un incident causé par une modification faite hors du Prestataire, par un mot de passe divulgué, ou par une panne du fournisseur d’hébergement, de Meta ou du réseau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la récupération de données si le Client a refusé ou interrompu les sauvegardes.</w:t>
      </w:r>
    </w:p>
    <w:p>
      <w:pPr>
        <w:pStyle w:val="Heading1"/>
        <w:pBdr>
          <w:bottom w:val="single" w:color="C2410C" w:sz="8" w:space="1"/>
        </w:pBdr>
        <w:spacing w:after="120" w:before="280"/>
      </w:pPr>
      <w:r>
        <w:rPr>
          <w:rFonts w:ascii="Calibri" w:cs="Calibri" w:eastAsia="Calibri" w:hAnsi="Calibri"/>
          <w:b/>
          <w:bCs/>
          <w:color w:val="1B2A4A"/>
          <w:sz w:val="26"/>
          <w:szCs w:val="26"/>
        </w:rPr>
        <w:t xml:space="preserve">5.  Délais de prise en charge</w:t>
      </w:r>
    </w:p>
    <w:p>
      <w:pPr>
        <w:spacing w:after="80" w:before="80" w:line="276"/>
      </w:pPr>
      <w:r>
        <w:rPr>
          <w:rFonts w:ascii="Calibri" w:cs="Calibri" w:eastAsia="Calibri" w:hAnsi="Calibri"/>
          <w:b w:val="false"/>
          <w:bCs w:val="false"/>
          <w:i w:val="false"/>
          <w:iCs w:val="false"/>
          <w:color w:val="1F2937"/>
          <w:sz w:val="22"/>
          <w:szCs w:val="22"/>
        </w:rPr>
        <w:t xml:space="preserve">Les délais courent pendant les jours ouvrés, du lundi au vendredi, de 9 h à 18 h, heure de Tunis, hors jours fériés tunisiens. Une demande reçue en dehors de cette plage est réputée reçue à l’ouverture suivante.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tblHeader/>
        </w:trPr>
        <w:tc>
          <w:tcPr>
            <w:tcW w:type="dxa" w:w="1800"/>
            <w:tcBorders>
              <w:top w:val="single" w:color="E5E7EB" w:sz="4"/>
              <w:left w:val="single" w:color="E5E7EB" w:sz="4"/>
              <w:bottom w:val="single" w:color="E5E7EB" w:sz="4"/>
              <w:right w:val="single" w:color="E5E7EB" w:sz="4"/>
            </w:tcBorders>
            <w:shd w:fill="1B2A4A" w:val="clear"/>
            <w:tcMar>
              <w:top w:type="dxa" w:w="80"/>
              <w:left w:type="dxa" w:w="120"/>
              <w:bottom w:type="dxa" w:w="80"/>
              <w:right w:type="dxa" w:w="120"/>
            </w:tcMar>
            <w:vAlign w:val="top"/>
          </w:tcPr>
          <w:p>
            <w:r>
              <w:rPr>
                <w:rFonts w:ascii="Calibri" w:cs="Calibri" w:eastAsia="Calibri" w:hAnsi="Calibri"/>
                <w:b/>
                <w:bCs/>
                <w:i w:val="false"/>
                <w:iCs w:val="false"/>
                <w:color w:val="FFFFFF"/>
                <w:sz w:val="20"/>
                <w:szCs w:val="20"/>
              </w:rPr>
              <w:t xml:space="preserve">Priorité</w:t>
            </w:r>
          </w:p>
        </w:tc>
        <w:tc>
          <w:tcPr>
            <w:tcW w:type="dxa" w:w="2800"/>
            <w:tcBorders>
              <w:top w:val="single" w:color="E5E7EB" w:sz="4"/>
              <w:left w:val="single" w:color="E5E7EB" w:sz="4"/>
              <w:bottom w:val="single" w:color="E5E7EB" w:sz="4"/>
              <w:right w:val="single" w:color="E5E7EB" w:sz="4"/>
            </w:tcBorders>
            <w:shd w:fill="1B2A4A" w:val="clear"/>
            <w:tcMar>
              <w:top w:type="dxa" w:w="80"/>
              <w:left w:type="dxa" w:w="120"/>
              <w:bottom w:type="dxa" w:w="80"/>
              <w:right w:type="dxa" w:w="120"/>
            </w:tcMar>
            <w:vAlign w:val="top"/>
          </w:tcPr>
          <w:p>
            <w:r>
              <w:rPr>
                <w:rFonts w:ascii="Calibri" w:cs="Calibri" w:eastAsia="Calibri" w:hAnsi="Calibri"/>
                <w:b/>
                <w:bCs/>
                <w:i w:val="false"/>
                <w:iCs w:val="false"/>
                <w:color w:val="FFFFFF"/>
                <w:sz w:val="20"/>
                <w:szCs w:val="20"/>
              </w:rPr>
              <w:t xml:space="preserve">Prise en charge</w:t>
            </w:r>
          </w:p>
        </w:tc>
        <w:tc>
          <w:tcPr>
            <w:tcW w:type="dxa" w:w="5038"/>
            <w:tcBorders>
              <w:top w:val="single" w:color="E5E7EB" w:sz="4"/>
              <w:left w:val="single" w:color="E5E7EB" w:sz="4"/>
              <w:bottom w:val="single" w:color="E5E7EB" w:sz="4"/>
              <w:right w:val="single" w:color="E5E7EB" w:sz="4"/>
            </w:tcBorders>
            <w:shd w:fill="1B2A4A" w:val="clear"/>
            <w:tcMar>
              <w:top w:type="dxa" w:w="80"/>
              <w:left w:type="dxa" w:w="120"/>
              <w:bottom w:type="dxa" w:w="80"/>
              <w:right w:type="dxa" w:w="120"/>
            </w:tcMar>
            <w:vAlign w:val="top"/>
          </w:tcPr>
          <w:p>
            <w:r>
              <w:rPr>
                <w:rFonts w:ascii="Calibri" w:cs="Calibri" w:eastAsia="Calibri" w:hAnsi="Calibri"/>
                <w:b/>
                <w:bCs/>
                <w:i w:val="false"/>
                <w:iCs w:val="false"/>
                <w:color w:val="FFFFFF"/>
                <w:sz w:val="20"/>
                <w:szCs w:val="20"/>
              </w:rPr>
              <w:t xml:space="preserve">Exemples</w:t>
            </w:r>
          </w:p>
        </w:tc>
      </w:tr>
      <w:tr>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vAlign w:val="top"/>
          </w:tcPr>
          <w:p>
            <w:r>
              <w:rPr>
                <w:rFonts w:ascii="Calibri" w:cs="Calibri" w:eastAsia="Calibri" w:hAnsi="Calibri"/>
                <w:b/>
                <w:bCs/>
                <w:i w:val="false"/>
                <w:iCs w:val="false"/>
                <w:color w:val="1F2937"/>
                <w:sz w:val="20"/>
                <w:szCs w:val="20"/>
              </w:rPr>
              <w:t xml:space="preserve">Critique</w:t>
            </w:r>
          </w:p>
        </w:tc>
        <w:tc>
          <w:tcPr>
            <w:tcW w:type="dxa" w:w="2800"/>
            <w:tcBorders>
              <w:top w:val="single" w:color="E5E7EB" w:sz="4"/>
              <w:left w:val="single" w:color="E5E7EB" w:sz="4"/>
              <w:bottom w:val="single" w:color="E5E7EB" w:sz="4"/>
              <w:right w:val="single" w:color="E5E7EB" w:sz="4"/>
            </w:tcBorders>
            <w:tcMar>
              <w:top w:type="dxa" w:w="80"/>
              <w:left w:type="dxa" w:w="120"/>
              <w:bottom w:type="dxa" w:w="80"/>
              <w:right w:type="dxa" w:w="120"/>
            </w:tcMar>
            <w:vAlign w:val="top"/>
          </w:tcPr>
          <w:p>
            <w:r>
              <w:rPr>
                <w:rFonts w:ascii="Calibri" w:cs="Calibri" w:eastAsia="Calibri" w:hAnsi="Calibri"/>
                <w:b w:val="false"/>
                <w:bCs w:val="false"/>
                <w:i w:val="false"/>
                <w:iCs w:val="false"/>
                <w:color w:val="1F2937"/>
                <w:sz w:val="20"/>
                <w:szCs w:val="20"/>
              </w:rPr>
              <w:t xml:space="preserve">4 heures ouvrées</w:t>
            </w:r>
          </w:p>
        </w:tc>
        <w:tc>
          <w:tcPr>
            <w:tcW w:type="dxa" w:w="5038"/>
            <w:tcBorders>
              <w:top w:val="single" w:color="E5E7EB" w:sz="4"/>
              <w:left w:val="single" w:color="E5E7EB" w:sz="4"/>
              <w:bottom w:val="single" w:color="E5E7EB" w:sz="4"/>
              <w:right w:val="single" w:color="E5E7EB" w:sz="4"/>
            </w:tcBorders>
            <w:tcMar>
              <w:top w:type="dxa" w:w="80"/>
              <w:left w:type="dxa" w:w="120"/>
              <w:bottom w:type="dxa" w:w="80"/>
              <w:right w:type="dxa" w:w="120"/>
            </w:tcMar>
            <w:vAlign w:val="top"/>
          </w:tcPr>
          <w:p>
            <w:r>
              <w:rPr>
                <w:rFonts w:ascii="Calibri" w:cs="Calibri" w:eastAsia="Calibri" w:hAnsi="Calibri"/>
                <w:b w:val="false"/>
                <w:bCs w:val="false"/>
                <w:i w:val="false"/>
                <w:iCs w:val="false"/>
                <w:color w:val="1F2937"/>
                <w:sz w:val="20"/>
                <w:szCs w:val="20"/>
              </w:rPr>
              <w:t xml:space="preserve">Application inaccessible, connexion impossible, paiement ou fiche de paie bloqué pour tous les utilisateurs.</w:t>
            </w:r>
          </w:p>
        </w:tc>
      </w:tr>
      <w:tr>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vAlign w:val="top"/>
          </w:tcPr>
          <w:p>
            <w:r>
              <w:rPr>
                <w:rFonts w:ascii="Calibri" w:cs="Calibri" w:eastAsia="Calibri" w:hAnsi="Calibri"/>
                <w:b/>
                <w:bCs/>
                <w:i w:val="false"/>
                <w:iCs w:val="false"/>
                <w:color w:val="1F2937"/>
                <w:sz w:val="20"/>
                <w:szCs w:val="20"/>
              </w:rPr>
              <w:t xml:space="preserve">Majeure</w:t>
            </w:r>
          </w:p>
        </w:tc>
        <w:tc>
          <w:tcPr>
            <w:tcW w:type="dxa" w:w="2800"/>
            <w:tcBorders>
              <w:top w:val="single" w:color="E5E7EB" w:sz="4"/>
              <w:left w:val="single" w:color="E5E7EB" w:sz="4"/>
              <w:bottom w:val="single" w:color="E5E7EB" w:sz="4"/>
              <w:right w:val="single" w:color="E5E7EB" w:sz="4"/>
            </w:tcBorders>
            <w:tcMar>
              <w:top w:type="dxa" w:w="80"/>
              <w:left w:type="dxa" w:w="120"/>
              <w:bottom w:type="dxa" w:w="80"/>
              <w:right w:type="dxa" w:w="120"/>
            </w:tcMar>
            <w:vAlign w:val="top"/>
          </w:tcPr>
          <w:p>
            <w:r>
              <w:rPr>
                <w:rFonts w:ascii="Calibri" w:cs="Calibri" w:eastAsia="Calibri" w:hAnsi="Calibri"/>
                <w:b w:val="false"/>
                <w:bCs w:val="false"/>
                <w:i w:val="false"/>
                <w:iCs w:val="false"/>
                <w:color w:val="1F2937"/>
                <w:sz w:val="20"/>
                <w:szCs w:val="20"/>
              </w:rPr>
              <w:t xml:space="preserve">1 jour ouvré</w:t>
            </w:r>
          </w:p>
        </w:tc>
        <w:tc>
          <w:tcPr>
            <w:tcW w:type="dxa" w:w="5038"/>
            <w:tcBorders>
              <w:top w:val="single" w:color="E5E7EB" w:sz="4"/>
              <w:left w:val="single" w:color="E5E7EB" w:sz="4"/>
              <w:bottom w:val="single" w:color="E5E7EB" w:sz="4"/>
              <w:right w:val="single" w:color="E5E7EB" w:sz="4"/>
            </w:tcBorders>
            <w:tcMar>
              <w:top w:type="dxa" w:w="80"/>
              <w:left w:type="dxa" w:w="120"/>
              <w:bottom w:type="dxa" w:w="80"/>
              <w:right w:type="dxa" w:w="120"/>
            </w:tcMar>
            <w:vAlign w:val="top"/>
          </w:tcPr>
          <w:p>
            <w:r>
              <w:rPr>
                <w:rFonts w:ascii="Calibri" w:cs="Calibri" w:eastAsia="Calibri" w:hAnsi="Calibri"/>
                <w:b w:val="false"/>
                <w:bCs w:val="false"/>
                <w:i w:val="false"/>
                <w:iCs w:val="false"/>
                <w:color w:val="1F2937"/>
                <w:sz w:val="20"/>
                <w:szCs w:val="20"/>
              </w:rPr>
              <w:t xml:space="preserve">Une fonction importante est en panne pour une partie des utilisateurs, sans arrêt général.</w:t>
            </w:r>
          </w:p>
        </w:tc>
      </w:tr>
      <w:tr>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vAlign w:val="top"/>
          </w:tcPr>
          <w:p>
            <w:r>
              <w:rPr>
                <w:rFonts w:ascii="Calibri" w:cs="Calibri" w:eastAsia="Calibri" w:hAnsi="Calibri"/>
                <w:b/>
                <w:bCs/>
                <w:i w:val="false"/>
                <w:iCs w:val="false"/>
                <w:color w:val="1F2937"/>
                <w:sz w:val="20"/>
                <w:szCs w:val="20"/>
              </w:rPr>
              <w:t xml:space="preserve">Ordinaire</w:t>
            </w:r>
          </w:p>
        </w:tc>
        <w:tc>
          <w:tcPr>
            <w:tcW w:type="dxa" w:w="2800"/>
            <w:tcBorders>
              <w:top w:val="single" w:color="E5E7EB" w:sz="4"/>
              <w:left w:val="single" w:color="E5E7EB" w:sz="4"/>
              <w:bottom w:val="single" w:color="E5E7EB" w:sz="4"/>
              <w:right w:val="single" w:color="E5E7EB" w:sz="4"/>
            </w:tcBorders>
            <w:tcMar>
              <w:top w:type="dxa" w:w="80"/>
              <w:left w:type="dxa" w:w="120"/>
              <w:bottom w:type="dxa" w:w="80"/>
              <w:right w:type="dxa" w:w="120"/>
            </w:tcMar>
            <w:vAlign w:val="top"/>
          </w:tcPr>
          <w:p>
            <w:r>
              <w:rPr>
                <w:rFonts w:ascii="Calibri" w:cs="Calibri" w:eastAsia="Calibri" w:hAnsi="Calibri"/>
                <w:b w:val="false"/>
                <w:bCs w:val="false"/>
                <w:i w:val="false"/>
                <w:iCs w:val="false"/>
                <w:color w:val="1F2937"/>
                <w:sz w:val="20"/>
                <w:szCs w:val="20"/>
              </w:rPr>
              <w:t xml:space="preserve">5 jours ouvrés</w:t>
            </w:r>
          </w:p>
        </w:tc>
        <w:tc>
          <w:tcPr>
            <w:tcW w:type="dxa" w:w="5038"/>
            <w:tcBorders>
              <w:top w:val="single" w:color="E5E7EB" w:sz="4"/>
              <w:left w:val="single" w:color="E5E7EB" w:sz="4"/>
              <w:bottom w:val="single" w:color="E5E7EB" w:sz="4"/>
              <w:right w:val="single" w:color="E5E7EB" w:sz="4"/>
            </w:tcBorders>
            <w:tcMar>
              <w:top w:type="dxa" w:w="80"/>
              <w:left w:type="dxa" w:w="120"/>
              <w:bottom w:type="dxa" w:w="80"/>
              <w:right w:type="dxa" w:w="120"/>
            </w:tcMar>
            <w:vAlign w:val="top"/>
          </w:tcPr>
          <w:p>
            <w:r>
              <w:rPr>
                <w:rFonts w:ascii="Calibri" w:cs="Calibri" w:eastAsia="Calibri" w:hAnsi="Calibri"/>
                <w:b w:val="false"/>
                <w:bCs w:val="false"/>
                <w:i w:val="false"/>
                <w:iCs w:val="false"/>
                <w:color w:val="1F2937"/>
                <w:sz w:val="20"/>
                <w:szCs w:val="20"/>
              </w:rPr>
              <w:t xml:space="preserve">Affichage incorrect, libellé, gêne limitée, question d’utilisation.</w:t>
            </w:r>
          </w:p>
        </w:tc>
      </w:tr>
    </w:tbl>
    <w:p>
      <w:pPr>
        <w:spacing w:after="80" w:before="140" w:line="276"/>
      </w:pPr>
      <w:r>
        <w:rPr>
          <w:rFonts w:ascii="Calibri" w:cs="Calibri" w:eastAsia="Calibri" w:hAnsi="Calibri"/>
          <w:b w:val="false"/>
          <w:bCs w:val="false"/>
          <w:i w:val="false"/>
          <w:iCs w:val="false"/>
          <w:color w:val="1F2937"/>
          <w:sz w:val="22"/>
          <w:szCs w:val="22"/>
        </w:rPr>
        <w:t xml:space="preserve">La prise en charge est le premier retour utile : diagnostic, contournement ou correction. Le délai de correction dépend de la cause. Un incident dû à un tiers n’est pas imputable au Prestataire, qui aide toutefois le Client à le signaler.</w:t>
      </w:r>
    </w:p>
    <w:p>
      <w:pPr>
        <w:spacing w:after="80" w:before="80" w:line="276"/>
      </w:pPr>
      <w:r>
        <w:rPr>
          <w:rFonts w:ascii="Calibri" w:cs="Calibri" w:eastAsia="Calibri" w:hAnsi="Calibri"/>
          <w:b w:val="false"/>
          <w:bCs w:val="false"/>
          <w:i w:val="false"/>
          <w:iCs w:val="false"/>
          <w:color w:val="1F2937"/>
          <w:sz w:val="22"/>
          <w:szCs w:val="22"/>
        </w:rPr>
        <w:t xml:space="preserve">Le Client désigne un interlocuteur unique. Les demandes passent par l’adresse e-mail indiquée en tête, avec une description, la page concernée et, si possible, une capture.</w:t>
      </w:r>
    </w:p>
    <w:p>
      <w:pPr>
        <w:pStyle w:val="Heading1"/>
        <w:pBdr>
          <w:bottom w:val="single" w:color="C2410C" w:sz="8" w:space="1"/>
        </w:pBdr>
        <w:spacing w:after="120" w:before="280"/>
      </w:pPr>
      <w:r>
        <w:rPr>
          <w:rFonts w:ascii="Calibri" w:cs="Calibri" w:eastAsia="Calibri" w:hAnsi="Calibri"/>
          <w:b/>
          <w:bCs/>
          <w:color w:val="1B2A4A"/>
          <w:sz w:val="26"/>
          <w:szCs w:val="26"/>
        </w:rPr>
        <w:t xml:space="preserve">6.  Disponibilité et sauvegardes</w:t>
      </w:r>
    </w:p>
    <w:p>
      <w:pPr>
        <w:spacing w:after="80" w:before="80" w:line="276"/>
      </w:pPr>
      <w:r>
        <w:rPr>
          <w:rFonts w:ascii="Calibri" w:cs="Calibri" w:eastAsia="Calibri" w:hAnsi="Calibri"/>
          <w:b w:val="false"/>
          <w:bCs w:val="false"/>
          <w:i w:val="false"/>
          <w:iCs w:val="false"/>
          <w:color w:val="1F2937"/>
          <w:sz w:val="22"/>
          <w:szCs w:val="22"/>
        </w:rPr>
        <w:t xml:space="preserve">Le Prestataire vise une disponibilité de l’application de 99 % par mois civil, hors maintenance annoncée, hors panne de l’hébergeur et hors cas de force majeure. Une fenêtre de maintenance peut être placée un vendredi après 18 h, ou un autre créneau annoncé au moins 24 heures à l’avance.</w:t>
      </w:r>
    </w:p>
    <w:p>
      <w:pPr>
        <w:spacing w:after="80" w:before="80" w:line="276"/>
      </w:pPr>
      <w:r>
        <w:rPr>
          <w:rFonts w:ascii="Calibri" w:cs="Calibri" w:eastAsia="Calibri" w:hAnsi="Calibri"/>
          <w:b w:val="false"/>
          <w:bCs w:val="false"/>
          <w:i w:val="false"/>
          <w:iCs w:val="false"/>
          <w:color w:val="1F2937"/>
          <w:sz w:val="22"/>
          <w:szCs w:val="22"/>
        </w:rPr>
        <w:t xml:space="preserve">Le Client reste titulaire de l’hébergement et des accès. Le Prestataire s’assure qu’une sauvegarde de la base et des fichiers déposés est lancée au moins une fois par jour et conservée trente jours, sur un espace dont le Client a la propriété. Une restauration est tentée au plus une fois par trimestre, sur un jeu d’essai, pour vérifier que la copie est lisible.</w:t>
      </w:r>
    </w:p>
    <w:p>
      <w:pPr>
        <w:pStyle w:val="Heading1"/>
        <w:pBdr>
          <w:bottom w:val="single" w:color="C2410C" w:sz="8" w:space="1"/>
        </w:pBdr>
        <w:spacing w:after="120" w:before="280"/>
      </w:pPr>
      <w:r>
        <w:rPr>
          <w:rFonts w:ascii="Calibri" w:cs="Calibri" w:eastAsia="Calibri" w:hAnsi="Calibri"/>
          <w:b/>
          <w:bCs/>
          <w:color w:val="1B2A4A"/>
          <w:sz w:val="26"/>
          <w:szCs w:val="26"/>
        </w:rPr>
        <w:t xml:space="preserve">7.  Prix et paiement</w:t>
      </w:r>
    </w:p>
    <w:p>
      <w:pPr>
        <w:spacing w:after="80" w:before="80" w:line="276"/>
      </w:pPr>
      <w:r>
        <w:rPr>
          <w:rFonts w:ascii="Calibri" w:cs="Calibri" w:eastAsia="Calibri" w:hAnsi="Calibri"/>
          <w:b/>
          <w:bCs/>
          <w:i w:val="false"/>
          <w:iCs w:val="false"/>
          <w:color w:val="1F2937"/>
          <w:sz w:val="22"/>
          <w:szCs w:val="22"/>
        </w:rPr>
        <w:t xml:space="preserve">Forfait mensuel de maintenance : </w:t>
      </w:r>
      <w:r>
        <w:rPr>
          <w:rFonts w:ascii="Calibri" w:cs="Calibri" w:eastAsia="Calibri" w:hAnsi="Calibri"/>
          <w:b w:val="false"/>
          <w:bCs w:val="false"/>
          <w:i w:val="false"/>
          <w:iCs w:val="false"/>
          <w:color w:val="1F2937"/>
          <w:sz w:val="22"/>
          <w:szCs w:val="22"/>
        </w:rPr>
        <w:t xml:space="preserve">[montant en toutes lettres] dinars tunisiens hors taxes, soit [montant en chiffres] DT HT.</w:t>
      </w:r>
    </w:p>
    <w:p>
      <w:pPr>
        <w:spacing w:after="80" w:before="80" w:line="276"/>
      </w:pPr>
      <w:r>
        <w:rPr>
          <w:rFonts w:ascii="Calibri" w:cs="Calibri" w:eastAsia="Calibri" w:hAnsi="Calibri"/>
          <w:b/>
          <w:bCs/>
          <w:i w:val="false"/>
          <w:iCs w:val="false"/>
          <w:color w:val="1F2937"/>
          <w:sz w:val="22"/>
          <w:szCs w:val="22"/>
        </w:rPr>
        <w:t xml:space="preserve">Heure supplémentaire, après accord : </w:t>
      </w:r>
      <w:r>
        <w:rPr>
          <w:rFonts w:ascii="Calibri" w:cs="Calibri" w:eastAsia="Calibri" w:hAnsi="Calibri"/>
          <w:b w:val="false"/>
          <w:bCs w:val="false"/>
          <w:i w:val="false"/>
          <w:iCs w:val="false"/>
          <w:color w:val="1F2937"/>
          <w:sz w:val="22"/>
          <w:szCs w:val="22"/>
        </w:rPr>
        <w:t xml:space="preserve">[montant] DT HT.</w:t>
      </w:r>
    </w:p>
    <w:p>
      <w:pPr>
        <w:spacing w:after="80" w:before="80" w:line="276"/>
      </w:pPr>
      <w:r>
        <w:rPr>
          <w:rFonts w:ascii="Calibri" w:cs="Calibri" w:eastAsia="Calibri" w:hAnsi="Calibri"/>
          <w:b w:val="false"/>
          <w:bCs w:val="false"/>
          <w:i w:val="false"/>
          <w:iCs w:val="false"/>
          <w:color w:val="1F2937"/>
          <w:sz w:val="22"/>
          <w:szCs w:val="22"/>
        </w:rPr>
        <w:t xml:space="preserve">La taxe sur la valeur ajoutée s’ajoute si elle est due. Le forfait est facturé au début de chaque mois. Le Client paie par virement sous quinze jours à compter de la facture, sur le compte indiqué par le Prestataire.</w:t>
      </w:r>
    </w:p>
    <w:p>
      <w:pPr>
        <w:spacing w:after="80" w:before="80" w:line="276"/>
      </w:pPr>
      <w:r>
        <w:rPr>
          <w:rFonts w:ascii="Calibri" w:cs="Calibri" w:eastAsia="Calibri" w:hAnsi="Calibri"/>
          <w:b w:val="false"/>
          <w:bCs w:val="false"/>
          <w:i w:val="false"/>
          <w:iCs w:val="false"/>
          <w:color w:val="1F2937"/>
          <w:sz w:val="22"/>
          <w:szCs w:val="22"/>
        </w:rPr>
        <w:t xml:space="preserve">Un retard de plus de quinze jours après une relance écrite autorise le Prestataire à suspendre les prestations non critiques jusqu’au paiement, sans effacer les données du Client.</w:t>
      </w:r>
    </w:p>
    <w:p>
      <w:pPr>
        <w:spacing w:after="80" w:before="80" w:line="276"/>
      </w:pPr>
      <w:r>
        <w:rPr>
          <w:rFonts w:ascii="Calibri" w:cs="Calibri" w:eastAsia="Calibri" w:hAnsi="Calibri"/>
          <w:b w:val="false"/>
          <w:bCs w:val="false"/>
          <w:i w:val="false"/>
          <w:iCs w:val="false"/>
          <w:color w:val="1F2937"/>
          <w:sz w:val="22"/>
          <w:szCs w:val="22"/>
        </w:rPr>
        <w:t xml:space="preserve">Le forfait est révisé une fois par an, à la date anniversaire, dans la limite de la variation de l’indice des prix à la consommation publié par l’INS, sauf accord écrit sur un autre montant.</w:t>
      </w:r>
    </w:p>
    <w:p>
      <w:pPr>
        <w:pStyle w:val="Heading1"/>
        <w:pBdr>
          <w:bottom w:val="single" w:color="C2410C" w:sz="8" w:space="1"/>
        </w:pBdr>
        <w:spacing w:after="120" w:before="280"/>
      </w:pPr>
      <w:r>
        <w:rPr>
          <w:rFonts w:ascii="Calibri" w:cs="Calibri" w:eastAsia="Calibri" w:hAnsi="Calibri"/>
          <w:b/>
          <w:bCs/>
          <w:color w:val="1B2A4A"/>
          <w:sz w:val="26"/>
          <w:szCs w:val="26"/>
        </w:rPr>
        <w:t xml:space="preserve">8.  Durée</w:t>
      </w:r>
    </w:p>
    <w:p>
      <w:pPr>
        <w:spacing w:after="80" w:before="80" w:line="276"/>
      </w:pPr>
      <w:r>
        <w:rPr>
          <w:rFonts w:ascii="Calibri" w:cs="Calibri" w:eastAsia="Calibri" w:hAnsi="Calibri"/>
          <w:b w:val="false"/>
          <w:bCs w:val="false"/>
          <w:i w:val="false"/>
          <w:iCs w:val="false"/>
          <w:color w:val="1F2937"/>
          <w:sz w:val="22"/>
          <w:szCs w:val="22"/>
        </w:rPr>
        <w:t xml:space="preserve">Le contrat prend effet à la date de signature des deux Parties, pour douze mois. Il se renouvelle ensuite par périodes de douze mois, sauf résiliation notifiée par lettre recommandée ou par e-mail avec accusé de réception, au moins trente jours avant l’échéance.</w:t>
      </w:r>
    </w:p>
    <w:p>
      <w:pPr>
        <w:spacing w:after="80" w:before="80" w:line="276"/>
      </w:pPr>
      <w:r>
        <w:rPr>
          <w:rFonts w:ascii="Calibri" w:cs="Calibri" w:eastAsia="Calibri" w:hAnsi="Calibri"/>
          <w:b w:val="false"/>
          <w:bCs w:val="false"/>
          <w:i w:val="false"/>
          <w:iCs w:val="false"/>
          <w:color w:val="1F2937"/>
          <w:sz w:val="22"/>
          <w:szCs w:val="22"/>
        </w:rPr>
        <w:t xml:space="preserve">Chaque Partie peut résilier de plein droit si l’autre n’a pas réparé un manquement grave dans les quinze jours d’une mise en demeure écrite restée sans effet.</w:t>
      </w:r>
    </w:p>
    <w:p>
      <w:pPr>
        <w:spacing w:after="80" w:before="80" w:line="276"/>
      </w:pPr>
      <w:r>
        <w:rPr>
          <w:rFonts w:ascii="Calibri" w:cs="Calibri" w:eastAsia="Calibri" w:hAnsi="Calibri"/>
          <w:b w:val="false"/>
          <w:bCs w:val="false"/>
          <w:i w:val="false"/>
          <w:iCs w:val="false"/>
          <w:color w:val="1F2937"/>
          <w:sz w:val="22"/>
          <w:szCs w:val="22"/>
        </w:rPr>
        <w:t xml:space="preserve">À la fin du contrat, le Prestataire remet les accès, la dernière sauvegarde et un état des points ouverts. Il retire ses accès personnels dans les cinq jours ouvrés.</w:t>
      </w:r>
    </w:p>
    <w:p>
      <w:pPr>
        <w:pStyle w:val="Heading1"/>
        <w:pBdr>
          <w:bottom w:val="single" w:color="C2410C" w:sz="8" w:space="1"/>
        </w:pBdr>
        <w:spacing w:after="120" w:before="280"/>
      </w:pPr>
      <w:r>
        <w:rPr>
          <w:rFonts w:ascii="Calibri" w:cs="Calibri" w:eastAsia="Calibri" w:hAnsi="Calibri"/>
          <w:b/>
          <w:bCs/>
          <w:color w:val="1B2A4A"/>
          <w:sz w:val="26"/>
          <w:szCs w:val="26"/>
        </w:rPr>
        <w:t xml:space="preserve">9.  Obligations du Client</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fournir les accès nécessaires et un interlocuteur joignable aux heures ouvrées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ne pas modifier le code, le serveur ou la base sans en avertir le Prestataire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conserver la confidentialité des mots de passe et retirer les comptes des personnes qui quittent l’agence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signaler un incident dès qu’il est constaté, avec les éléments utiles au diagnostic ;</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régler les factures des tiers (hébergement, domaine, WhatsApp, messagerie) afin que l’application puisse continuer de fonctionner.</w:t>
      </w:r>
    </w:p>
    <w:p>
      <w:pPr>
        <w:pStyle w:val="Heading1"/>
        <w:pBdr>
          <w:bottom w:val="single" w:color="C2410C" w:sz="8" w:space="1"/>
        </w:pBdr>
        <w:spacing w:after="120" w:before="280"/>
      </w:pPr>
      <w:r>
        <w:rPr>
          <w:rFonts w:ascii="Calibri" w:cs="Calibri" w:eastAsia="Calibri" w:hAnsi="Calibri"/>
          <w:b/>
          <w:bCs/>
          <w:color w:val="1B2A4A"/>
          <w:sz w:val="26"/>
          <w:szCs w:val="26"/>
        </w:rPr>
        <w:t xml:space="preserve">10.  Données personnelles et confidentialité</w:t>
      </w:r>
    </w:p>
    <w:p>
      <w:pPr>
        <w:spacing w:after="80" w:before="80" w:line="276"/>
      </w:pPr>
      <w:r>
        <w:rPr>
          <w:rFonts w:ascii="Calibri" w:cs="Calibri" w:eastAsia="Calibri" w:hAnsi="Calibri"/>
          <w:b w:val="false"/>
          <w:bCs w:val="false"/>
          <w:i w:val="false"/>
          <w:iCs w:val="false"/>
          <w:color w:val="1F2937"/>
          <w:sz w:val="22"/>
          <w:szCs w:val="22"/>
        </w:rPr>
        <w:t xml:space="preserve">L’application contient des données d’étudiants, de familles et de salariés : identité, dossiers, paiements, présences et salaires. Le Client en est responsable. Le Prestataire n’y accède que pour exécuter ce contrat.</w:t>
      </w:r>
    </w:p>
    <w:p>
      <w:pPr>
        <w:spacing w:after="80" w:before="80" w:line="276"/>
      </w:pPr>
      <w:r>
        <w:rPr>
          <w:rFonts w:ascii="Calibri" w:cs="Calibri" w:eastAsia="Calibri" w:hAnsi="Calibri"/>
          <w:b w:val="false"/>
          <w:bCs w:val="false"/>
          <w:i w:val="false"/>
          <w:iCs w:val="false"/>
          <w:color w:val="1F2937"/>
          <w:sz w:val="22"/>
          <w:szCs w:val="22"/>
        </w:rPr>
        <w:t xml:space="preserve">Le Prestataire ne copie ces données que pour la sauvegarde et le diagnostic, ne les cède pas, et ne les utilise pas pour un autre client. Il les protège par des accès nominatifs. À la fin du contrat, il détruit les copies qui ne sont plus nécessaires à une obligation légale, et le confirme par écrit.</w:t>
      </w:r>
    </w:p>
    <w:p>
      <w:pPr>
        <w:spacing w:after="80" w:before="80" w:line="276"/>
      </w:pPr>
      <w:r>
        <w:rPr>
          <w:rFonts w:ascii="Calibri" w:cs="Calibri" w:eastAsia="Calibri" w:hAnsi="Calibri"/>
          <w:b w:val="false"/>
          <w:bCs w:val="false"/>
          <w:i w:val="false"/>
          <w:iCs w:val="false"/>
          <w:color w:val="1F2937"/>
          <w:sz w:val="22"/>
          <w:szCs w:val="22"/>
        </w:rPr>
        <w:t xml:space="preserve">Chaque Partie garde confidentiels les prix, les accès et les informations non publiques reçus de l’autre, pendant le contrat et trois ans après. Cette obligation ne couvre pas une information déjà publique ou exigée par une autorité.</w:t>
      </w:r>
    </w:p>
    <w:p>
      <w:pPr>
        <w:spacing w:after="80" w:before="80" w:line="276"/>
      </w:pPr>
      <w:r>
        <w:rPr>
          <w:rFonts w:ascii="Calibri" w:cs="Calibri" w:eastAsia="Calibri" w:hAnsi="Calibri"/>
          <w:b w:val="false"/>
          <w:bCs w:val="false"/>
          <w:i w:val="false"/>
          <w:iCs w:val="false"/>
          <w:color w:val="1F2937"/>
          <w:sz w:val="22"/>
          <w:szCs w:val="22"/>
        </w:rPr>
        <w:t xml:space="preserve">Une réclamation relative aux données personnelles peut être adressée au Client à services@smtravel.fr. L’autorité tunisienne compétente est l’Instance nationale de protection des données personnelles.</w:t>
      </w:r>
    </w:p>
    <w:p>
      <w:pPr>
        <w:pStyle w:val="Heading1"/>
        <w:pBdr>
          <w:bottom w:val="single" w:color="C2410C" w:sz="8" w:space="1"/>
        </w:pBdr>
        <w:spacing w:after="120" w:before="280"/>
      </w:pPr>
      <w:r>
        <w:rPr>
          <w:rFonts w:ascii="Calibri" w:cs="Calibri" w:eastAsia="Calibri" w:hAnsi="Calibri"/>
          <w:b/>
          <w:bCs/>
          <w:color w:val="1B2A4A"/>
          <w:sz w:val="26"/>
          <w:szCs w:val="26"/>
        </w:rPr>
        <w:t xml:space="preserve">11.  Propriété</w:t>
      </w:r>
    </w:p>
    <w:p>
      <w:pPr>
        <w:spacing w:after="80" w:before="80" w:line="276"/>
      </w:pPr>
      <w:r>
        <w:rPr>
          <w:rFonts w:ascii="Calibri" w:cs="Calibri" w:eastAsia="Calibri" w:hAnsi="Calibri"/>
          <w:b w:val="false"/>
          <w:bCs w:val="false"/>
          <w:i w:val="false"/>
          <w:iCs w:val="false"/>
          <w:color w:val="1F2937"/>
          <w:sz w:val="22"/>
          <w:szCs w:val="22"/>
        </w:rPr>
        <w:t xml:space="preserve">L’application, les bases, les fichiers déposés par l’agence et la marque SM Travel restent la propriété du Client. Le contrat ne transfère aucun droit de propriété intellectuelle au Prestataire.</w:t>
      </w:r>
    </w:p>
    <w:p>
      <w:pPr>
        <w:spacing w:after="80" w:before="80" w:line="276"/>
      </w:pPr>
      <w:r>
        <w:rPr>
          <w:rFonts w:ascii="Calibri" w:cs="Calibri" w:eastAsia="Calibri" w:hAnsi="Calibri"/>
          <w:b w:val="false"/>
          <w:bCs w:val="false"/>
          <w:i w:val="false"/>
          <w:iCs w:val="false"/>
          <w:color w:val="1F2937"/>
          <w:sz w:val="22"/>
          <w:szCs w:val="22"/>
        </w:rPr>
        <w:t xml:space="preserve">Les corrections et petits ajustements réalisés dans le forfait sont cédés au Client au fur et à mesure de leur mise en service et du paiement des factures correspondantes. Le Prestataire conserve la propriété de ses méthodes, outils et composants génériques qui ne contiennent aucune donnée du Client.</w:t>
      </w:r>
    </w:p>
    <w:p>
      <w:pPr>
        <w:spacing w:after="80" w:before="80" w:line="276"/>
      </w:pPr>
      <w:r>
        <w:rPr>
          <w:rFonts w:ascii="Calibri" w:cs="Calibri" w:eastAsia="Calibri" w:hAnsi="Calibri"/>
          <w:b w:val="false"/>
          <w:bCs w:val="false"/>
          <w:i w:val="false"/>
          <w:iCs w:val="false"/>
          <w:color w:val="1F2937"/>
          <w:sz w:val="22"/>
          <w:szCs w:val="22"/>
        </w:rPr>
        <w:t xml:space="preserve">Le Prestataire ne réutilise pas les données ni les documents de l’agence dans une autre réalisation.</w:t>
      </w:r>
    </w:p>
    <w:p>
      <w:pPr>
        <w:pStyle w:val="Heading1"/>
        <w:pBdr>
          <w:bottom w:val="single" w:color="C2410C" w:sz="8" w:space="1"/>
        </w:pBdr>
        <w:spacing w:after="120" w:before="280"/>
      </w:pPr>
      <w:r>
        <w:rPr>
          <w:rFonts w:ascii="Calibri" w:cs="Calibri" w:eastAsia="Calibri" w:hAnsi="Calibri"/>
          <w:b/>
          <w:bCs/>
          <w:color w:val="1B2A4A"/>
          <w:sz w:val="26"/>
          <w:szCs w:val="26"/>
        </w:rPr>
        <w:t xml:space="preserve">12.  Responsabilité</w:t>
      </w:r>
    </w:p>
    <w:p>
      <w:pPr>
        <w:spacing w:after="80" w:before="80" w:line="276"/>
      </w:pPr>
      <w:r>
        <w:rPr>
          <w:rFonts w:ascii="Calibri" w:cs="Calibri" w:eastAsia="Calibri" w:hAnsi="Calibri"/>
          <w:b w:val="false"/>
          <w:bCs w:val="false"/>
          <w:i w:val="false"/>
          <w:iCs w:val="false"/>
          <w:color w:val="1F2937"/>
          <w:sz w:val="22"/>
          <w:szCs w:val="22"/>
        </w:rPr>
        <w:t xml:space="preserve">Le Prestataire est tenu à une obligation de moyens. Il met en œuvre la compétence attendue d’un professionnel de la maintenance d’applications web. Il ne garantit pas un fonctionnement sans aucune interruption.</w:t>
      </w:r>
    </w:p>
    <w:p>
      <w:pPr>
        <w:spacing w:after="80" w:before="80" w:line="276"/>
      </w:pPr>
      <w:r>
        <w:rPr>
          <w:rFonts w:ascii="Calibri" w:cs="Calibri" w:eastAsia="Calibri" w:hAnsi="Calibri"/>
          <w:b w:val="false"/>
          <w:bCs w:val="false"/>
          <w:i w:val="false"/>
          <w:iCs w:val="false"/>
          <w:color w:val="1F2937"/>
          <w:sz w:val="22"/>
          <w:szCs w:val="22"/>
        </w:rPr>
        <w:t xml:space="preserve">Sa responsabilité, toutes causes réunies sur une année contractuelle, est limitée au montant hors taxes payé par le Client au titre du présent contrat pendant les trois mois précédant le fait générateur. Sont exclus les dommages indirects : perte de chiffre d’affaires, perte d’une opportunité commerciale, atteinte à l’image.</w:t>
      </w:r>
    </w:p>
    <w:p>
      <w:pPr>
        <w:spacing w:after="80" w:before="80" w:line="276"/>
      </w:pPr>
      <w:r>
        <w:rPr>
          <w:rFonts w:ascii="Calibri" w:cs="Calibri" w:eastAsia="Calibri" w:hAnsi="Calibri"/>
          <w:b w:val="false"/>
          <w:bCs w:val="false"/>
          <w:i w:val="false"/>
          <w:iCs w:val="false"/>
          <w:color w:val="1F2937"/>
          <w:sz w:val="22"/>
          <w:szCs w:val="22"/>
        </w:rPr>
        <w:t xml:space="preserve">Cette limite ne s’applique pas en cas de faute lourde, de dol, ou d’atteinte aux données résultant d’un manquement du Prestataire à l’article 10.</w:t>
      </w:r>
    </w:p>
    <w:p>
      <w:pPr>
        <w:pStyle w:val="Heading1"/>
        <w:pBdr>
          <w:bottom w:val="single" w:color="C2410C" w:sz="8" w:space="1"/>
        </w:pBdr>
        <w:spacing w:after="120" w:before="280"/>
      </w:pPr>
      <w:r>
        <w:rPr>
          <w:rFonts w:ascii="Calibri" w:cs="Calibri" w:eastAsia="Calibri" w:hAnsi="Calibri"/>
          <w:b/>
          <w:bCs/>
          <w:color w:val="1B2A4A"/>
          <w:sz w:val="26"/>
          <w:szCs w:val="26"/>
        </w:rPr>
        <w:t xml:space="preserve">13.  Force majeure</w:t>
      </w:r>
    </w:p>
    <w:p>
      <w:pPr>
        <w:spacing w:after="80" w:before="80" w:line="276"/>
      </w:pPr>
      <w:r>
        <w:rPr>
          <w:rFonts w:ascii="Calibri" w:cs="Calibri" w:eastAsia="Calibri" w:hAnsi="Calibri"/>
          <w:b w:val="false"/>
          <w:bCs w:val="false"/>
          <w:i w:val="false"/>
          <w:iCs w:val="false"/>
          <w:color w:val="1F2937"/>
          <w:sz w:val="22"/>
          <w:szCs w:val="22"/>
        </w:rPr>
        <w:t xml:space="preserve">Aucune Partie n’est responsable d’un retard dû à un événement imprévisible, irrésistible et extérieur : catastrophe, guerre, décision d’une autorité, panne générale d’un réseau ou d’un fournisseur indispensable. La Partie concernée prévient l’autre sans délai. Si l’empêchement dure plus de trente jours, chaque Partie peut résilier sans indemnité, les sommes dues pour la période déjà écoulée restant acquises.</w:t>
      </w:r>
    </w:p>
    <w:p>
      <w:pPr>
        <w:pStyle w:val="Heading1"/>
        <w:pBdr>
          <w:bottom w:val="single" w:color="C2410C" w:sz="8" w:space="1"/>
        </w:pBdr>
        <w:spacing w:after="120" w:before="280"/>
      </w:pPr>
      <w:r>
        <w:rPr>
          <w:rFonts w:ascii="Calibri" w:cs="Calibri" w:eastAsia="Calibri" w:hAnsi="Calibri"/>
          <w:b/>
          <w:bCs/>
          <w:color w:val="1B2A4A"/>
          <w:sz w:val="26"/>
          <w:szCs w:val="26"/>
        </w:rPr>
        <w:t xml:space="preserve">14.  Dispositions générales</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Le contrat et son annexe expriment l’entier accord des Parties sur la maintenance. Ils remplacent tout échange antérieur sur le même objet.</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Une modification n’est valable que si elle est écrite et signée, y compris par signature électronique fiable.</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Si une clause est déclarée nulle, les autres continuent de s’appliquer.</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Le fait de ne pas se prévaloir d’une clause n’empêche pas de s’en prévaloir plus tard.</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Le Prestataire peut se faire aider par un sous-traitant, dont il reste responsable envers le Client. Il n’en informe le Client que si cette personne accède aux données.</w:t>
      </w:r>
    </w:p>
    <w:p>
      <w:pPr>
        <w:pStyle w:val="ListParagraph"/>
        <w:numPr>
          <w:ilvl w:val="0"/>
          <w:numId w:val="2"/>
        </w:numPr>
        <w:spacing w:after="40" w:before="40" w:line="276"/>
      </w:pPr>
      <w:r>
        <w:rPr>
          <w:rFonts w:ascii="Calibri" w:cs="Calibri" w:eastAsia="Calibri" w:hAnsi="Calibri"/>
          <w:b w:val="false"/>
          <w:bCs w:val="false"/>
          <w:i w:val="false"/>
          <w:iCs w:val="false"/>
          <w:color w:val="1F2937"/>
          <w:sz w:val="22"/>
          <w:szCs w:val="22"/>
        </w:rPr>
        <w:t xml:space="preserve">Le contrat est soumis au droit tunisien. À défaut d’accord amiable dans les trente jours d’une réclamation écrite, les tribunaux de Tunis sont compétents.</w:t>
      </w:r>
    </w:p>
    <w:p>
      <w:pPr>
        <w:spacing w:after="80" w:before="80" w:line="276"/>
      </w:pPr>
      <w:r>
        <w:rPr>
          <w:rFonts w:ascii="Calibri" w:cs="Calibri" w:eastAsia="Calibri" w:hAnsi="Calibri"/>
          <w:b w:val="false"/>
          <w:bCs w:val="false"/>
          <w:i w:val="false"/>
          <w:iCs w:val="false"/>
          <w:color w:val="1F2937"/>
          <w:sz w:val="22"/>
          <w:szCs w:val="22"/>
        </w:rPr>
        <w:t xml:space="preserve">Le contrat est signé en deux exemplaires originaux, un pour chaque Partie.</w:t>
      </w:r>
    </w:p>
    <w:p>
      <w:pPr>
        <w:pStyle w:val="Heading1"/>
        <w:pBdr>
          <w:bottom w:val="single" w:color="C2410C" w:sz="8" w:space="1"/>
        </w:pBdr>
        <w:spacing w:after="120" w:before="280"/>
      </w:pPr>
      <w:r>
        <w:rPr>
          <w:rFonts w:ascii="Calibri" w:cs="Calibri" w:eastAsia="Calibri" w:hAnsi="Calibri"/>
          <w:b/>
          <w:bCs/>
          <w:color w:val="1B2A4A"/>
          <w:sz w:val="26"/>
          <w:szCs w:val="26"/>
        </w:rPr>
        <w:t xml:space="preserve">Annexe — Grille de priorité</w:t>
      </w:r>
    </w:p>
    <w:p>
      <w:pPr>
        <w:spacing w:after="80" w:before="80" w:line="276"/>
      </w:pPr>
      <w:r>
        <w:rPr>
          <w:rFonts w:ascii="Calibri" w:cs="Calibri" w:eastAsia="Calibri" w:hAnsi="Calibri"/>
          <w:b w:val="false"/>
          <w:bCs w:val="false"/>
          <w:i w:val="false"/>
          <w:iCs w:val="false"/>
          <w:color w:val="1F2937"/>
          <w:sz w:val="22"/>
          <w:szCs w:val="22"/>
        </w:rPr>
        <w:t xml:space="preserve">Cette annexe fait partie du contrat. En cas de doute sur la priorité, les Parties retiennent le niveau le plus élevé tant que le diagnostic n’a pas montré le contraire.</w:t>
      </w:r>
    </w:p>
    <w:p>
      <w:pPr>
        <w:pStyle w:val="ListParagraph"/>
        <w:numPr>
          <w:ilvl w:val="0"/>
          <w:numId w:val="3"/>
        </w:numPr>
        <w:spacing w:after="40" w:before="40" w:line="276"/>
      </w:pPr>
      <w:r>
        <w:rPr>
          <w:rFonts w:ascii="Calibri" w:cs="Calibri" w:eastAsia="Calibri" w:hAnsi="Calibri"/>
          <w:b w:val="false"/>
          <w:bCs w:val="false"/>
          <w:i w:val="false"/>
          <w:iCs w:val="false"/>
          <w:color w:val="1F2937"/>
          <w:sz w:val="22"/>
          <w:szCs w:val="22"/>
        </w:rPr>
        <w:t xml:space="preserve">Critique : plus aucun utilisateur ne peut se connecter, encaisser un paiement, ou émettre la paie du mois.</w:t>
      </w:r>
    </w:p>
    <w:p>
      <w:pPr>
        <w:pStyle w:val="ListParagraph"/>
        <w:numPr>
          <w:ilvl w:val="0"/>
          <w:numId w:val="3"/>
        </w:numPr>
        <w:spacing w:after="40" w:before="40" w:line="276"/>
      </w:pPr>
      <w:r>
        <w:rPr>
          <w:rFonts w:ascii="Calibri" w:cs="Calibri" w:eastAsia="Calibri" w:hAnsi="Calibri"/>
          <w:b w:val="false"/>
          <w:bCs w:val="false"/>
          <w:i w:val="false"/>
          <w:iCs w:val="false"/>
          <w:color w:val="1F2937"/>
          <w:sz w:val="22"/>
          <w:szCs w:val="22"/>
        </w:rPr>
        <w:t xml:space="preserve">Majeure : WhatsApp, le mail de l’agence, les présences ou la finance sont inutilisables pour une équipe, alors que le reste de l’application répond.</w:t>
      </w:r>
    </w:p>
    <w:p>
      <w:pPr>
        <w:pStyle w:val="ListParagraph"/>
        <w:numPr>
          <w:ilvl w:val="0"/>
          <w:numId w:val="3"/>
        </w:numPr>
        <w:spacing w:after="40" w:before="40" w:line="276"/>
      </w:pPr>
      <w:r>
        <w:rPr>
          <w:rFonts w:ascii="Calibri" w:cs="Calibri" w:eastAsia="Calibri" w:hAnsi="Calibri"/>
          <w:b w:val="false"/>
          <w:bCs w:val="false"/>
          <w:i w:val="false"/>
          <w:iCs w:val="false"/>
          <w:color w:val="1F2937"/>
          <w:sz w:val="22"/>
          <w:szCs w:val="22"/>
        </w:rPr>
        <w:t xml:space="preserve">Ordinaire : un libellé, un export, un filtre ou une question d’usage, sans blocage du travail.</w:t>
      </w:r>
    </w:p>
    <w:p>
      <w:r>
        <w:br w:type="page"/>
      </w:r>
    </w:p>
    <w:p>
      <w:pPr>
        <w:spacing w:after="80" w:before="80"/>
      </w:pPr>
      <w:r>
        <w:rPr>
          <w:rFonts w:ascii="Calibri" w:cs="Calibri" w:eastAsia="Calibri" w:hAnsi="Calibri"/>
          <w:b/>
          <w:bCs/>
          <w:i w:val="false"/>
          <w:iCs w:val="false"/>
          <w:color w:val="1B2A4A"/>
          <w:sz w:val="26"/>
          <w:szCs w:val="26"/>
        </w:rPr>
        <w:t xml:space="preserve">Signatures</w:t>
      </w:r>
    </w:p>
    <w:p>
      <w:pPr>
        <w:spacing w:after="80" w:before="80" w:line="276"/>
      </w:pPr>
      <w:r>
        <w:rPr>
          <w:rFonts w:ascii="Calibri" w:cs="Calibri" w:eastAsia="Calibri" w:hAnsi="Calibri"/>
          <w:b w:val="false"/>
          <w:bCs w:val="false"/>
          <w:i w:val="false"/>
          <w:iCs w:val="false"/>
          <w:color w:val="1F2937"/>
          <w:sz w:val="22"/>
          <w:szCs w:val="22"/>
        </w:rPr>
        <w:t xml:space="preserve">Fait à Tunis, le [date], en deux exemplaires.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rHeight w:val="9000" w:hRule="atLeast"/>
        </w:trPr>
        <w:tc>
          <w:tcPr>
            <w:tcW w:type="dxa" w:w="4819"/>
            <w:tcBorders>
              <w:top w:val="single" w:color="E5E7EB" w:sz="4"/>
              <w:left w:val="single" w:color="E5E7EB" w:sz="4"/>
              <w:bottom w:val="single" w:color="E5E7EB" w:sz="4"/>
              <w:right w:val="single" w:color="E5E7EB" w:sz="4"/>
            </w:tcBorders>
            <w:shd w:fill="FFF7ED" w:val="clear"/>
            <w:tcMar>
              <w:top w:type="dxa" w:w="80"/>
              <w:left w:type="dxa" w:w="120"/>
              <w:bottom w:type="dxa" w:w="80"/>
              <w:right w:type="dxa" w:w="120"/>
            </w:tcMar>
            <w:vAlign w:val="top"/>
          </w:tcPr>
          <w:p>
            <w:pPr>
              <w:spacing w:after="80"/>
            </w:pPr>
            <w:r>
              <w:rPr>
                <w:rFonts w:ascii="Calibri" w:cs="Calibri" w:eastAsia="Calibri" w:hAnsi="Calibri"/>
                <w:b/>
                <w:bCs/>
                <w:i w:val="false"/>
                <w:iCs w:val="false"/>
                <w:color w:val="C2410C"/>
                <w:sz w:val="22"/>
                <w:szCs w:val="22"/>
              </w:rPr>
              <w:t xml:space="preserve">Pour le Client</w:t>
            </w:r>
          </w:p>
          <w:p>
            <w:pPr>
              <w:spacing w:after="80" w:before="40" w:line="276"/>
            </w:pPr>
            <w:r>
              <w:rPr>
                <w:rFonts w:ascii="Calibri" w:cs="Calibri" w:eastAsia="Calibri" w:hAnsi="Calibri"/>
                <w:b w:val="false"/>
                <w:bCs w:val="false"/>
                <w:i w:val="false"/>
                <w:iCs w:val="false"/>
                <w:color w:val="1F2937"/>
                <w:sz w:val="20"/>
                <w:szCs w:val="20"/>
              </w:rPr>
              <w:t xml:space="preserve">SM services &amp; consulting</w:t>
            </w:r>
          </w:p>
          <w:p>
            <w:pPr>
              <w:spacing w:after="60" w:before="60" w:line="276"/>
            </w:pPr>
            <w:r>
              <w:rPr>
                <w:rFonts w:ascii="Calibri" w:cs="Calibri" w:eastAsia="Calibri" w:hAnsi="Calibri"/>
                <w:b w:val="false"/>
                <w:bCs w:val="false"/>
                <w:i w:val="false"/>
                <w:iCs w:val="false"/>
                <w:color w:val="1F2937"/>
                <w:sz w:val="20"/>
                <w:szCs w:val="20"/>
              </w:rPr>
              <w:t xml:space="preserve">Nom :</w:t>
            </w:r>
          </w:p>
          <w:p>
            <w:pPr>
              <w:spacing w:after="60" w:before="60" w:line="276"/>
            </w:pPr>
            <w:r>
              <w:rPr>
                <w:rFonts w:ascii="Calibri" w:cs="Calibri" w:eastAsia="Calibri" w:hAnsi="Calibri"/>
                <w:b w:val="false"/>
                <w:bCs w:val="false"/>
                <w:i w:val="false"/>
                <w:iCs w:val="false"/>
                <w:color w:val="1F2937"/>
                <w:sz w:val="20"/>
                <w:szCs w:val="20"/>
              </w:rPr>
              <w:t xml:space="preserve">Qualité :</w:t>
            </w:r>
          </w:p>
          <w:p>
            <w:pPr>
              <w:spacing w:after="40" w:before="80" w:line="276"/>
            </w:pPr>
            <w:r>
              <w:rPr>
                <w:rFonts w:ascii="Calibri" w:cs="Calibri" w:eastAsia="Calibri" w:hAnsi="Calibri"/>
                <w:b w:val="false"/>
                <w:bCs w:val="false"/>
                <w:i/>
                <w:iCs/>
                <w:color w:val="1F2937"/>
                <w:sz w:val="20"/>
                <w:szCs w:val="20"/>
              </w:rPr>
              <w:t xml:space="preserve">Lu et approuvé</w:t>
            </w:r>
          </w:p>
          <w:p>
            <w:pPr>
              <w:spacing w:after="40" w:before="80" w:line="276"/>
            </w:pPr>
            <w:r>
              <w:rPr>
                <w:rFonts w:ascii="Calibri" w:cs="Calibri" w:eastAsia="Calibri" w:hAnsi="Calibri"/>
                <w:b w:val="false"/>
                <w:bCs w:val="false"/>
                <w:i w:val="false"/>
                <w:iCs w:val="false"/>
                <w:color w:val="1F2937"/>
                <w:sz w:val="20"/>
                <w:szCs w:val="20"/>
              </w:rPr>
              <w:t xml:space="preserve">Signature et cachet :</w:t>
            </w:r>
          </w:p>
          <w:p>
            <w:pPr>
              <w:spacing w:after="40" w:before="400" w:line="276"/>
            </w:pPr>
            <w:r>
              <w:rPr>
                <w:rFonts w:ascii="Calibri" w:cs="Calibri" w:eastAsia="Calibri" w:hAnsi="Calibri"/>
                <w:b w:val="false"/>
                <w:bCs w:val="false"/>
                <w:i w:val="false"/>
                <w:iCs w:val="false"/>
                <w:color w:val="1F2937"/>
                <w:sz w:val="22"/>
                <w:szCs w:val="22"/>
              </w:rPr>
              <w:t xml:space="preserve"> </w:t>
            </w:r>
          </w:p>
        </w:tc>
        <w:tc>
          <w:tcPr>
            <w:tcW w:type="dxa" w:w="4819"/>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vAlign w:val="top"/>
          </w:tcPr>
          <w:p>
            <w:pPr>
              <w:spacing w:after="80"/>
            </w:pPr>
            <w:r>
              <w:rPr>
                <w:rFonts w:ascii="Calibri" w:cs="Calibri" w:eastAsia="Calibri" w:hAnsi="Calibri"/>
                <w:b/>
                <w:bCs/>
                <w:i w:val="false"/>
                <w:iCs w:val="false"/>
                <w:color w:val="1B2A4A"/>
                <w:sz w:val="22"/>
                <w:szCs w:val="22"/>
              </w:rPr>
              <w:t xml:space="preserve">Pour le Prestataire</w:t>
            </w:r>
          </w:p>
          <w:p>
            <w:pPr>
              <w:spacing w:after="80" w:before="40" w:line="276"/>
            </w:pPr>
            <w:r>
              <w:rPr>
                <w:rFonts w:ascii="Calibri" w:cs="Calibri" w:eastAsia="Calibri" w:hAnsi="Calibri"/>
                <w:b w:val="false"/>
                <w:bCs w:val="false"/>
                <w:i w:val="false"/>
                <w:iCs w:val="false"/>
                <w:color w:val="1F2937"/>
                <w:sz w:val="20"/>
                <w:szCs w:val="20"/>
              </w:rPr>
              <w:t xml:space="preserve">[dénomination]</w:t>
            </w:r>
          </w:p>
          <w:p>
            <w:pPr>
              <w:spacing w:after="60" w:before="60" w:line="276"/>
            </w:pPr>
            <w:r>
              <w:rPr>
                <w:rFonts w:ascii="Calibri" w:cs="Calibri" w:eastAsia="Calibri" w:hAnsi="Calibri"/>
                <w:b w:val="false"/>
                <w:bCs w:val="false"/>
                <w:i w:val="false"/>
                <w:iCs w:val="false"/>
                <w:color w:val="1F2937"/>
                <w:sz w:val="20"/>
                <w:szCs w:val="20"/>
              </w:rPr>
              <w:t xml:space="preserve">Nom :</w:t>
            </w:r>
          </w:p>
          <w:p>
            <w:pPr>
              <w:spacing w:after="60" w:before="60" w:line="276"/>
            </w:pPr>
            <w:r>
              <w:rPr>
                <w:rFonts w:ascii="Calibri" w:cs="Calibri" w:eastAsia="Calibri" w:hAnsi="Calibri"/>
                <w:b w:val="false"/>
                <w:bCs w:val="false"/>
                <w:i w:val="false"/>
                <w:iCs w:val="false"/>
                <w:color w:val="1F2937"/>
                <w:sz w:val="20"/>
                <w:szCs w:val="20"/>
              </w:rPr>
              <w:t xml:space="preserve">Qualité :</w:t>
            </w:r>
          </w:p>
          <w:p>
            <w:pPr>
              <w:spacing w:after="40" w:before="80" w:line="276"/>
            </w:pPr>
            <w:r>
              <w:rPr>
                <w:rFonts w:ascii="Calibri" w:cs="Calibri" w:eastAsia="Calibri" w:hAnsi="Calibri"/>
                <w:b w:val="false"/>
                <w:bCs w:val="false"/>
                <w:i/>
                <w:iCs/>
                <w:color w:val="1F2937"/>
                <w:sz w:val="20"/>
                <w:szCs w:val="20"/>
              </w:rPr>
              <w:t xml:space="preserve">Lu et approuvé</w:t>
            </w:r>
          </w:p>
          <w:p>
            <w:pPr>
              <w:spacing w:after="40" w:before="80" w:line="276"/>
            </w:pPr>
            <w:r>
              <w:rPr>
                <w:rFonts w:ascii="Calibri" w:cs="Calibri" w:eastAsia="Calibri" w:hAnsi="Calibri"/>
                <w:b w:val="false"/>
                <w:bCs w:val="false"/>
                <w:i w:val="false"/>
                <w:iCs w:val="false"/>
                <w:color w:val="1F2937"/>
                <w:sz w:val="20"/>
                <w:szCs w:val="20"/>
              </w:rPr>
              <w:t xml:space="preserve">Signature et cachet :</w:t>
            </w:r>
          </w:p>
          <w:p>
            <w:pPr>
              <w:spacing w:after="40" w:before="400" w:line="276"/>
            </w:pPr>
            <w:r>
              <w:rPr>
                <w:rFonts w:ascii="Calibri" w:cs="Calibri" w:eastAsia="Calibri" w:hAnsi="Calibri"/>
                <w:b w:val="false"/>
                <w:bCs w:val="false"/>
                <w:i w:val="false"/>
                <w:iCs w:val="false"/>
                <w:color w:val="1F2937"/>
                <w:sz w:val="22"/>
                <w:szCs w:val="22"/>
              </w:rPr>
              <w:t xml:space="preserve"> </w:t>
            </w:r>
          </w:p>
        </w:tc>
      </w:tr>
    </w:tbl>
    <w:sectPr>
      <w:headerReference w:type="default" r:id="rId6"/>
      <w:footerReference w:type="default" r:id="rId7"/>
      <w:pgSz w:w="11906" w:h="16838" w:orient="portrait"/>
      <w:pgMar w:top="1000" w:right="1134" w:bottom="10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8" w:space="6"/>
      </w:pBdr>
      <w:spacing w:before="80"/>
    </w:pPr>
    <w:r>
      <w:rPr>
        <w:rFonts w:ascii="Calibri" w:cs="Calibri" w:eastAsia="Calibri" w:hAnsi="Calibri"/>
        <w:b w:val="false"/>
        <w:bCs w:val="false"/>
        <w:i/>
        <w:iCs/>
        <w:color w:val="4B5563"/>
        <w:sz w:val="16"/>
        <w:szCs w:val="16"/>
      </w:rPr>
      <w:t xml:space="preserve">Projet de contrat — à compléter avant signature</w:t>
    </w:r>
    <w:r>
      <w:rPr>
        <w:rFonts w:ascii="Calibri" w:cs="Calibri" w:eastAsia="Calibri" w:hAnsi="Calibri"/>
        <w:b w:val="false"/>
        <w:bCs w:val="false"/>
        <w:i w:val="false"/>
        <w:iCs w:val="false"/>
        <w:color w:val="4B5563"/>
        <w:sz w:val="16"/>
        <w:szCs w:val="16"/>
      </w:rPr>
      <w:t xml:space="preserve">          Page </w:t>
    </w:r>
    <w:r>
      <w:rPr>
        <w:rFonts w:ascii="Calibri" w:cs="Calibri" w:eastAsia="Calibri" w:hAnsi="Calibri"/>
        <w:color w:val="4B5563"/>
        <w:sz w:val="16"/>
        <w:szCs w:val="16"/>
      </w:rPr>
      <w:fldChar w:fldCharType="begin"/>
    </w:r>
    <w:r>
      <w:rPr>
        <w:rFonts w:ascii="Calibri" w:cs="Calibri" w:eastAsia="Calibri" w:hAnsi="Calibri"/>
        <w:color w:val="4B5563"/>
        <w:sz w:val="16"/>
        <w:szCs w:val="16"/>
      </w:rPr>
      <w:instrText xml:space="preserve">PAGE</w:instrText>
    </w:r>
    <w:r>
      <w:rPr>
        <w:rFonts w:ascii="Calibri" w:cs="Calibri" w:eastAsia="Calibri" w:hAnsi="Calibri"/>
        <w:color w:val="4B5563"/>
        <w:sz w:val="16"/>
        <w:szCs w:val="16"/>
      </w:rPr>
      <w:fldChar w:fldCharType="separate"/>
    </w:r>
    <w:r>
      <w:rPr>
        <w:rFonts w:ascii="Calibri" w:cs="Calibri" w:eastAsia="Calibri" w:hAnsi="Calibri"/>
        <w:color w:val="4B5563"/>
        <w:sz w:val="16"/>
        <w:szCs w:val="16"/>
      </w:rPr>
      <w:fldChar w:fldCharType="end"/>
    </w:r>
    <w:r>
      <w:rPr>
        <w:rFonts w:ascii="Calibri" w:cs="Calibri" w:eastAsia="Calibri" w:hAnsi="Calibri"/>
        <w:b w:val="false"/>
        <w:bCs w:val="false"/>
        <w:i w:val="false"/>
        <w:iCs w:val="false"/>
        <w:color w:val="4B5563"/>
        <w:sz w:val="16"/>
        <w:szCs w:val="16"/>
      </w:rPr>
      <w:t xml:space="preserve"> / </w:t>
    </w:r>
    <w:r>
      <w:rPr>
        <w:rFonts w:ascii="Calibri" w:cs="Calibri" w:eastAsia="Calibri" w:hAnsi="Calibri"/>
        <w:color w:val="4B5563"/>
        <w:sz w:val="16"/>
        <w:szCs w:val="16"/>
      </w:rPr>
      <w:fldChar w:fldCharType="begin"/>
    </w:r>
    <w:r>
      <w:rPr>
        <w:rFonts w:ascii="Calibri" w:cs="Calibri" w:eastAsia="Calibri" w:hAnsi="Calibri"/>
        <w:color w:val="4B5563"/>
        <w:sz w:val="16"/>
        <w:szCs w:val="16"/>
      </w:rPr>
      <w:instrText xml:space="preserve">NUMPAGES</w:instrText>
    </w:r>
    <w:r>
      <w:rPr>
        <w:rFonts w:ascii="Calibri" w:cs="Calibri" w:eastAsia="Calibri" w:hAnsi="Calibri"/>
        <w:color w:val="4B5563"/>
        <w:sz w:val="16"/>
        <w:szCs w:val="16"/>
      </w:rPr>
      <w:fldChar w:fldCharType="separate"/>
    </w:r>
    <w:r>
      <w:rPr>
        <w:rFonts w:ascii="Calibri" w:cs="Calibri" w:eastAsia="Calibri" w:hAnsi="Calibri"/>
        <w:color w:val="4B556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2" w:space="6"/>
      </w:pBdr>
      <w:spacing w:after="80"/>
    </w:pPr>
    <w:r>
      <w:rPr>
        <w:rFonts w:ascii="Calibri" w:cs="Calibri" w:eastAsia="Calibri" w:hAnsi="Calibri"/>
        <w:b/>
        <w:bCs/>
        <w:i w:val="false"/>
        <w:iCs w:val="false"/>
        <w:color w:val="1B2A4A"/>
        <w:sz w:val="18"/>
        <w:szCs w:val="18"/>
      </w:rPr>
      <w:t xml:space="preserve">SM TRAVEL</w:t>
    </w:r>
    <w:r>
      <w:rPr>
        <w:rFonts w:ascii="Calibri" w:cs="Calibri" w:eastAsia="Calibri" w:hAnsi="Calibri"/>
        <w:b w:val="false"/>
        <w:bCs w:val="false"/>
        <w:i w:val="false"/>
        <w:iCs w:val="false"/>
        <w:color w:val="4B5563"/>
        <w:sz w:val="16"/>
        <w:szCs w:val="16"/>
      </w:rPr>
      <w:t xml:space="preserve">   ·   Contrat de maintenance applicative   ·   Réf. CM-SM-2026-001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abstractNum w:abstractNumId="3" w15:restartNumberingAfterBreak="0">
    <w:multiLevelType w:val="hybridMultilevel"/>
    <w:lvl w:ilvl="0" w: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Calibri" w:cs="Calibri" w:eastAsia="Calibri" w:hAnsi="Calibri"/>
      <w:b/>
      <w:bCs/>
      <w:color w:val="1B2A4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2026-10-22T13:34:32.378Z</dcterms:created>
  <dcterms:modified xsi:type="dcterms:W3CDTF">2026-10-22T13:34:32.380Z</dcterms:modified>
</cp:coreProperties>
</file>

<file path=docProps/custom.xml><?xml version="1.0" encoding="utf-8"?>
<Properties xmlns="http://schemas.openxmlformats.org/officeDocument/2006/custom-properties" xmlns:vt="http://schemas.openxmlformats.org/officeDocument/2006/docPropsVTypes"/>
</file>