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pic="http://schemas.openxmlformats.org/drawingml/2006/picture"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drawing>
          <wp:inline distT="0" distB="0" distL="0" distR="0">
            <wp:extent cx="1238250" cy="1028700"/>
            <wp:effectExtent t="0" r="0" b="0" l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b/>
          <w:bCs/>
          <w:color w:val="5A5A5A"/>
          <w:sz w:val="18"/>
          <w:szCs w:val="18"/>
        </w:rPr>
        <w:t xml:space="preserve">MAGÍSTER EN CIENCIA DE DATOS E INTELIGENCIA ARTIFICIAL</w:t>
      </w:r>
    </w:p>
    <w:p>
      <w:pPr>
        <w:spacing w:after="700" w:before="60"/>
        <w:jc w:val="center"/>
      </w:pPr>
      <w:r>
        <w:rPr>
          <w:i/>
          <w:iCs/>
          <w:color w:val="8C8C8C"/>
          <w:sz w:val="18"/>
          <w:szCs w:val="18"/>
        </w:rPr>
        <w:t xml:space="preserve">MCDI501: Estadística Computacional para la Toma de Decisiones</w:t>
      </w:r>
    </w:p>
    <w:p>
      <w:pPr>
        <w:spacing w:after="160" w:before="0"/>
        <w:jc w:val="center"/>
      </w:pPr>
      <w:r>
        <w:rPr>
          <w:b/>
          <w:bCs/>
          <w:color w:val="000000"/>
          <w:sz w:val="32"/>
          <w:szCs w:val="32"/>
        </w:rPr>
        <w:t xml:space="preserve">Evaluación Sumativa 2</w:t>
      </w:r>
    </w:p>
    <w:p>
      <w:pPr>
        <w:spacing w:after="700" w:before="0"/>
        <w:jc w:val="center"/>
      </w:pPr>
      <w:r>
        <w:rPr>
          <w:color w:val="000000"/>
          <w:sz w:val="26"/>
          <w:szCs w:val="26"/>
        </w:rPr>
        <w:t xml:space="preserve">Validación, Simulación y Métodos de Remuestreo</w:t>
      </w:r>
    </w:p>
    <w:p>
      <w:pPr>
        <w:spacing w:after="900" w:before="0"/>
        <w:jc w:val="center"/>
      </w:pPr>
      <w:r>
        <w:rPr>
          <w:i/>
          <w:iCs/>
          <w:color w:val="5A5A5A"/>
          <w:sz w:val="20"/>
          <w:szCs w:val="20"/>
        </w:rPr>
        <w:t xml:space="preserve">Informe técnico grupal · 20 %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del proyecto: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¿Lloverá mañana? Análisis del clima en Australia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Jeremmy Díaz Alfaro, Karim Zaid Sánchez, Laura Arenas Kosin (Grupo 4)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Rain in Australia — weatherAUS (Kaggle)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Jean Paul Maidana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19/10/2026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GitHub: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https://github.com/Karimzaid/mcdi501-estadistica-computacional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none" w:color="FFFFFF" w:sz="0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 la evaluación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del proyecto: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3: Desarrollo del proyecto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Modalidad: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Ponderación: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20 % de la nota final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Entregables: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Informe PDF (máx. 7 págs.) · Notebook .ipynb · Repositorio GitHub (carpetas S1, S2 y archivo de resultados validados)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de aprendizaje: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RA2: implementar métodos computacionales de simulación y remuestreo para apoyar la toma de decisiones en escenarios complejos.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Indicadores: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ID2.1, ID2.2, ID2.3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Prerrequisito: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Sumativa 1.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5A5A5A" w:sz="4"/>
              <w:left w:val="single" w:color="5A5A5A" w:sz="4"/>
              <w:bottom w:val="none" w:color="FFFFFF" w:sz="0"/>
              <w:right w:val="single" w:color="5A5A5A" w:sz="4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Conexión con evaluaciones anteriores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single" w:color="5A5A5A" w:sz="4"/>
              <w:bottom w:val="single" w:color="5A5A5A" w:sz="4"/>
              <w:right w:val="single" w:color="5A5A5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 el trabajo se construye sobre los resultados de nuestra Sumativa 1 (notebooks/01_formativa1_eda.ipynb): los intervalos clásicos de la Tabla 2, la prueba t de Welch de la humedad, la prueba χ² de la nubosidad, la prueba z de “¿llovió hoy?” y las correlaciones de la Figura 3. Cada sección valida o pone a prueba uno de esos resultados. El dataset tiene 145.460 registros diarios de 49 ciudades (2007–2017); la variable objetivo es RainTomorrow (llueve al día siguiente en el 22,4 % de los días). Todos los cálculos usan la semilla 42.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Validación de resultados de S1 mediante bootstrap</w:t>
      </w:r>
    </w:p>
    <w:p>
      <w:pPr>
        <w:pStyle w:val="BodyText"/>
      </w:pPr>
      <w:r>
        <w:t xml:space="preserve">Aplicamos bootstrap no paramétrico (Efron &amp; Tibshirani, 1993) con 10.000 remuestras a cuatro parámetros de la S1: la media de la temperatura máxima, de la lluvia diaria y de la humedad a las 3 pm, y la proporción de días con lluvia al día siguiente. Para cada uno calculamos el intervalo percentil y el BCa, que corrige el sesgo (z₀) y la aceleración o asimetría (a, estimada con jackknife) (Efron, 1987), y los comparamos con el intervalo clásico de la S1 (Tabla 1). Cada método supone algo distinto: el clásico, que la media muestral es aproximadamente normal; el percentil, que la distribución bootstrap está centrada y es simétrica; y el BCa relaja ese supuesto.</w:t>
      </w:r>
    </w:p>
    <w:p>
      <w:pPr>
        <w:pStyle w:val="TableCaption"/>
      </w:pPr>
      <w:r>
        <w:t xml:space="preserve">Tabla 1: Intervalos de confianza al 95 %: clásico de la S1, percentil y BCa (10.000 remuestras).</w:t>
      </w:r>
    </w:p>
    <w:tbl>
      <w:tblPr>
        <w:tblStyle w:val="Table"/>
        <w:tblW w:type="pct" w:w="5000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ook w:firstRow="1" w:lastRow="0" w:firstColumn="0" w:lastColumn="0" w:noHBand="0" w:noVBand="0" w:val="0020"/>
        <w:tblCaption w:val="Tabla 1: Intervalos de confianza al 95 %: clásico de la S1, percentil y BCa (10.000 remuestras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Clásico (S1)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Temp. máxima (°C)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[23,185; 23,258]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[23,185; 23,258]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[23,185; 23,258]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Lluvia diaria (mm)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[2,317; 2,405]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[2,317; 2,405]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[2,317; 2,405]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Humedad 3 pm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[51,431; 51,648]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[51,431; 51,645]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[51,431; 51,645]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 lluvia mañana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[0,2220; 0,2263]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[0,2220; 0,2263]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[0,2220; 0,2263]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0,0006</w:t>
            </w:r>
          </w:p>
        </w:tc>
      </w:tr>
    </w:tbl>
    <w:p>
      <w:pPr>
        <w:pStyle w:val="CaptionedFigure"/>
      </w:pPr>
      <w:r>
        <w:drawing>
          <wp:inline>
            <wp:extent cx="5669280" cy="1319266"/>
            <wp:effectExtent b="0" l="0" r="0" t="0"/>
            <wp:docPr descr="Figura 1: Distribuciones bootstrap de los cuatro parámetros con los intervalos clásico, percentil y BCa (las líneas se superponen). La línea sólida es la estimación puntual." title="" id="101" name="Picture"/>
            <a:graphic>
              <a:graphicData uri="http://schemas.openxmlformats.org/drawingml/2006/picture">
                <pic:pic>
                  <pic:nvPicPr>
                    <pic:cNvPr descr="fig/s2_fig_bootstr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31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Distribuciones bootstrap de los cuatro parámetros con los intervalos clásico, percentil y BCa (las líneas se superponen). La línea sólida es la estimación puntual.</w:t>
      </w:r>
    </w:p>
    <w:p>
      <w:pPr>
        <w:pStyle w:val="BodyText"/>
      </w:pPr>
      <w:r>
        <w:t xml:space="preserve">En los cuatro parámetros los tres intervalos coinciden: z₀ está entre −0,010 y 0,002 y a es como máximo 0,004. El caso con más corrección es la lluvia, la variable más asimétrica (mediana 0 mm, máximo 371 mm), pero su BCa se mueve menos de una milésima de mm. Esto pasa porque con más de 140.000 días la</w:t>
      </w:r>
      <w:r>
        <w:t xml:space="preserve"> </w:t>
      </w:r>
      <w:r>
        <w:rPr>
          <w:iCs/>
          <w:i/>
        </w:rPr>
        <w:t xml:space="preserve">media muestral</w:t>
      </w:r>
      <w:r>
        <w:t xml:space="preserve"> </w:t>
      </w:r>
      <w:r>
        <w:t xml:space="preserve">sí es casi normal aunque la variable no lo sea (Teorema Central del Límite), como muestran los histogramas simétricos. Conclusión: los intervalos clásicos de la S1 son confiables. Eso no significa que la media de la lluvia sea un buen resumen de un día típico; lo revisamos en la sección 5.</w:t>
      </w:r>
    </w:p>
    <w:p>
      <w:pPr>
        <w:pStyle w:val="Heading1"/>
      </w:pPr>
      <w:r>
        <w:t xml:space="preserve">Validación de pruebas de hipótesis mediante permutación</w:t>
      </w:r>
    </w:p>
    <w:p>
      <w:pPr>
        <w:pStyle w:val="BodyText"/>
      </w:pPr>
      <w:r>
        <w:t xml:space="preserve">Validamos dos pruebas de la S1 con tests de permutación de 10.000 repeticiones (Good, 2005). Bajo H₀ da lo mismo qué días tienen la etiqueta</w:t>
      </w:r>
      <w:r>
        <w:t xml:space="preserve"> </w:t>
      </w:r>
      <w:r>
        <w:t xml:space="preserve">“</w:t>
      </w:r>
      <w:r>
        <w:t xml:space="preserve">llueve mañana</w:t>
      </w:r>
      <w:r>
        <w:t xml:space="preserve">”</w:t>
      </w:r>
      <w:r>
        <w:t xml:space="preserve">, así que mezclamos las etiquetas al azar, recalculamos el estadístico y contamos cuántas veces se iguala o supera el valor observado (p = (k + 1)/(B + 1)).</w:t>
      </w:r>
    </w:p>
    <w:p>
      <w:pPr>
        <w:pStyle w:val="BodyText"/>
      </w:pPr>
      <w:r>
        <w:rPr>
          <w:iCs/>
          <w:i/>
          <w:bCs/>
          <w:b/>
        </w:rPr>
        <w:t xml:space="preserve">t</w:t>
      </w:r>
      <w:r>
        <w:rPr>
          <w:bCs/>
          <w:b/>
        </w:rPr>
        <w:t xml:space="preserve"> </w:t>
      </w:r>
      <w:r>
        <w:rPr>
          <w:bCs/>
          <w:b/>
        </w:rPr>
        <w:t xml:space="preserve">de Welch (humedad a las 3 pm).</w:t>
      </w:r>
      <w:r>
        <w:t xml:space="preserve"> </w:t>
      </w:r>
      <w:r>
        <w:t xml:space="preserve">La humedad es 22,29 puntos más alta antes de un día con lluvia. Bajo H₀ la diferencia queda entre −0,48 y 0,48 puntos (desv. est. 0,13).</w:t>
      </w:r>
    </w:p>
    <w:p>
      <w:pPr>
        <w:pStyle w:val="BodyText"/>
      </w:pPr>
      <w:r>
        <w:rPr>
          <w:bCs/>
          <w:b/>
        </w:rPr>
        <w:t xml:space="preserve">χ² (nubosidad a las 3 pm en tres tramos).</w:t>
      </w:r>
      <w:r>
        <w:t xml:space="preserve"> </w:t>
      </w:r>
      <w:r>
        <w:t xml:space="preserve">El estadístico observado es 10.812,6 (n = 85.098). Bajo H₀ nunca pasa de 18,0 (percentil 95 = 5,89).</w:t>
      </w:r>
    </w:p>
    <w:p>
      <w:pPr>
        <w:pStyle w:val="CaptionedFigure"/>
      </w:pPr>
      <w:r>
        <w:drawing>
          <wp:inline>
            <wp:extent cx="5486400" cy="1751959"/>
            <wp:effectExtent b="0" l="0" r="0" t="0"/>
            <wp:docPr descr="Figura 2: Distribuciones bajo H₀ (10.000 permutaciones). En ambos casos el valor observado queda muy fuera del rango del azar." title="" id="102" name="Picture"/>
            <a:graphic>
              <a:graphicData uri="http://schemas.openxmlformats.org/drawingml/2006/picture">
                <pic:pic>
                  <pic:nvPicPr>
                    <pic:cNvPr descr="fig/s2_fig_permutac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Distribuciones bajo H₀ (10.000 permutaciones). En ambos casos el valor observado queda muy fuera del rango del azar.</w:t>
      </w:r>
    </w:p>
    <w:p>
      <w:pPr>
        <w:pStyle w:val="BodyText"/>
      </w:pPr>
      <w:r>
        <w:t xml:space="preserve">Ninguna permutación alcanza el valor real, por lo que el valor p de permutación es el mínimo posible con 10.000 repeticiones (1/10.001 ≈ 0,0001), es decir, p &lt; 0,001. Coincide con los resultados paramétricos de la S1 (t = 182,6; χ² con 2 gl; ambos p &lt; 0,0001). Los dos enfoques concuerdan y la permutación confirma que las conclusiones no dependían de la normalidad de la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ni de la aproximación χ².</w:t>
      </w:r>
    </w:p>
    <w:p>
      <w:pPr>
        <w:pStyle w:val="Heading1"/>
      </w:pPr>
      <w:r>
        <w:t xml:space="preserve">Evaluación de estabilidad de correlaciones</w:t>
      </w:r>
    </w:p>
    <w:p>
      <w:pPr>
        <w:pStyle w:val="BodyText"/>
      </w:pPr>
      <w:r>
        <w:t xml:space="preserve">Evaluamos cinco correlaciones de la S1 con intervalos bootstrap al 95 % (3.000 remuestras de filas). Incluimos a propósito una muy débil, para ver cómo se comporta. La correlación sol–nubosidad solo se calcula con las estaciones que miden ambas variables (64.892 días).</w:t>
      </w:r>
    </w:p>
    <w:p>
      <w:pPr>
        <w:pStyle w:val="CaptionedFigure"/>
      </w:pPr>
      <w:r>
        <w:drawing>
          <wp:inline>
            <wp:extent cx="4754880" cy="2095658"/>
            <wp:effectExtent b="0" l="0" r="0" t="0"/>
            <wp:docPr descr="Figura 3: Intervalos bootstrap al 95 % de cinco correlaciones de la S1. Son tan estrechos que quedan tapados por el punto." title="" id="103" name="Picture"/>
            <a:graphic>
              <a:graphicData uri="http://schemas.openxmlformats.org/drawingml/2006/picture">
                <pic:pic>
                  <pic:nvPicPr>
                    <pic:cNvPr descr="fig/s2_fig_correlacion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09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3: Intervalos bootstrap al 95 % de cinco correlaciones de la S1. Son tan estrechos que quedan tapados por el punto.</w:t>
      </w:r>
    </w:p>
    <w:p>
      <w:pPr>
        <w:pStyle w:val="BodyText"/>
      </w:pPr>
      <w:r>
        <w:t xml:space="preserve">Las cinco son robustas: ningún intervalo cruza el cero y todos son muy estrechos. Humedad 3 pm con lluvia mañana: r = 0,446 [0,442; 0,451]; sol con nubosidad: −0,704 [−0,708; −0,701]; presión 9 am con 3 pm: 0,961 [0,961; 0,962]; ráfaga con viento 3 pm: 0,686 [0,683; 0,690]. La temperatura a las 9 am con lluvia mañana (r = −0,026 [−0,031; −0,021]) también es estable, pero casi nula: con tantos datos hasta una relación sin importancia práctica tiene un intervalo que no toca el cero. La marcamos como</w:t>
      </w:r>
      <w:r>
        <w:t xml:space="preserve"> </w:t>
      </w:r>
      <w:r>
        <w:rPr>
          <w:iCs/>
          <w:i/>
        </w:rPr>
        <w:t xml:space="preserve">robusta pero débil</w:t>
      </w:r>
      <w:r>
        <w:t xml:space="preserve">.</w:t>
      </w:r>
    </w:p>
    <w:p>
      <w:pPr>
        <w:pStyle w:val="Heading1"/>
      </w:pPr>
      <w:r>
        <w:t xml:space="preserve">Simulación Monte Carlo basada en parámetros de S1</w:t>
      </w:r>
    </w:p>
    <w:p>
      <w:pPr>
        <w:pStyle w:val="BodyText"/>
      </w:pPr>
      <w:r>
        <w:rPr>
          <w:bCs/>
          <w:b/>
        </w:rPr>
        <w:t xml:space="preserve">Pregunta de decisión:</w:t>
      </w:r>
      <w:r>
        <w:t xml:space="preserve"> </w:t>
      </w:r>
      <w:r>
        <w:t xml:space="preserve">al planificar un mes de trabajo al aire libre (una cosecha, una obra o un evento), ¿cuántos días de lluvia esperar y qué tan probable es una racha de varios días seguidos con lluvia? Usamos solo parámetros de la S1. La prueba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mostró que la lluvia</w:t>
      </w:r>
      <w:r>
        <w:t xml:space="preserve"> </w:t>
      </w:r>
      <w:r>
        <w:t xml:space="preserve">“</w:t>
      </w:r>
      <w:r>
        <w:t xml:space="preserve">se arrastra</w:t>
      </w:r>
      <w:r>
        <w:t xml:space="preserve">”</w:t>
      </w:r>
      <w:r>
        <w:t xml:space="preserve">: si hoy llovió, mañana llueve con probabilidad p₁₁ = 0,464; si no, con p₀₁ = 0,152. Con esas dos probabilidades simulamos meses de 30 días, día a día, como una cadena de Markov (Robert &amp; Casella, 2004). Cada mes simulado es un dato sintético.</w:t>
      </w:r>
    </w:p>
    <w:p>
      <w:pPr>
        <w:pStyle w:val="BodyText"/>
      </w:pPr>
      <w:r>
        <w:t xml:space="preserve">El modelo es coherente con los datos: la proporción de lluvia de largo plazo que implica, π = p₀₁ / (1 − p₁₁ + p₀₁) = 22,1 %, es casi igual a la observada en la S1 (22,4 %). Simulamos 10.000 meses.</w:t>
      </w:r>
    </w:p>
    <w:p>
      <w:pPr>
        <w:pStyle w:val="CaptionedFigure"/>
      </w:pPr>
      <w:r>
        <w:drawing>
          <wp:inline>
            <wp:extent cx="5486400" cy="1747349"/>
            <wp:effectExtent b="0" l="0" r="0" t="0"/>
            <wp:docPr descr="Figura 4: (a) Días con lluvia en 10.000 meses simulados, con el intervalo del 95 %. (b) Convergencia de la media simulada al valor teórico." title="" id="104" name="Picture"/>
            <a:graphic>
              <a:graphicData uri="http://schemas.openxmlformats.org/drawingml/2006/picture">
                <pic:pic>
                  <pic:nvPicPr>
                    <pic:cNvPr descr="fig/s2_fig_montecarl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4: (a) Días con lluvia en 10.000 meses simulados, con el intervalo del 95 %. (b) Convergencia de la media simulada al valor teórico.</w:t>
      </w:r>
    </w:p>
    <w:p>
      <w:pPr>
        <w:pStyle w:val="BodyText"/>
      </w:pPr>
      <w:r>
        <w:t xml:space="preserve">La media simulada es 6,62 días con lluvia por mes, igual al valor teórico (30π), y se estabiliza después de unos mil meses; con 10.000 el error estándar de Monte Carlo es de solo 0,03 días, así que las iteraciones son suficientes. El 95 % de los meses tiene entre 1 y 13 días con lluvia; hay un 17,6 % de probabilidad de 10 o más días, y un</w:t>
      </w:r>
      <w:r>
        <w:t xml:space="preserve"> </w:t>
      </w:r>
      <w:r>
        <w:rPr>
          <w:bCs/>
          <w:b/>
        </w:rPr>
        <w:t xml:space="preserve">55,7 %</w:t>
      </w:r>
      <w:r>
        <w:t xml:space="preserve"> </w:t>
      </w:r>
      <w:r>
        <w:t xml:space="preserve">de que haya al menos una racha de 3 o más días seguidos con lluvia. Un mes completo sin lluvia es muy raro (0,7 %).</w:t>
      </w:r>
    </w:p>
    <w:bookmarkStart w:id="35" w:name="Xc3ca60e5de15dc4a4a6bb75144783f6a25b306b"/>
    <w:p>
      <w:pPr>
        <w:pStyle w:val="Heading2"/>
      </w:pPr>
      <w:r>
        <w:t xml:space="preserve">Escenarios: horizonte y supuesto de persistencia</w:t>
      </w:r>
    </w:p>
    <w:p>
      <w:pPr>
        <w:pStyle w:val="FirstParagraph"/>
      </w:pPr>
      <w:r>
        <w:t xml:space="preserve">Repetimos la simulación para 7, 30 y 90 días y la comparamos con un modelo de días independientes (misma probabilidad media, sin persistencia).</w:t>
      </w:r>
    </w:p>
    <w:p>
      <w:pPr>
        <w:pStyle w:val="TableCaption"/>
      </w:pPr>
      <w:r>
        <w:t xml:space="preserve">Tabla 2: Días con lluvia simulados (10.000 simulaciones por escenario).</w:t>
      </w:r>
    </w:p>
    <w:tbl>
      <w:tblPr>
        <w:tblStyle w:val="Table"/>
        <w:tblW w:type="pct" w:w="5000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ook w:firstRow="1" w:lastRow="0" w:firstColumn="0" w:lastColumn="0" w:noHBand="0" w:noVBand="0" w:val="0020"/>
        <w:tblCaption w:val="Tabla 2: Días con lluvia simulados (10.000 simulaciones por escenario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Desv.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 95 %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P(racha ≥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persistencia (S1)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[0; 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[1; 13]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[10; 31]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 independientes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[0; 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[2; 11]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[12; 28]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53,6 %</w:t>
            </w:r>
          </w:p>
        </w:tc>
      </w:tr>
    </w:tbl>
    <w:p>
      <w:pPr>
        <w:pStyle w:val="CaptionedFigure"/>
      </w:pPr>
      <w:r>
        <w:drawing>
          <wp:inline>
            <wp:extent cx="4023360" cy="1935287"/>
            <wp:effectExtent b="0" l="0" r="0" t="0"/>
            <wp:docPr descr="Figura 5: Días con lluvia en 30 días con y sin persistencia: misma media, distinta dispersión." title="" id="105" name="Picture"/>
            <a:graphic>
              <a:graphicData uri="http://schemas.openxmlformats.org/drawingml/2006/picture">
                <pic:pic>
                  <pic:nvPicPr>
                    <pic:cNvPr descr="fig/s2_fig_escenario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93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5: Días con lluvia en 30 días con y sin persistencia: misma media, distinta dispersión.</w:t>
      </w:r>
    </w:p>
    <w:p>
      <w:pPr>
        <w:pStyle w:val="BodyText"/>
      </w:pPr>
      <w:r>
        <w:t xml:space="preserve">La media es la misma en los dos modelos, pero el riesgo no: con persistencia los meses son más variables y la probabilidad de una racha de 3 o más días con lluvia sube de 21 % a 56 % (en 90 días, de 54 % a 92 %). Planificar suponiendo días independientes subestima el riesgo de varios días seguidos de lluvia, que es lo que más complica un trabajo al aire libre.</w:t>
      </w:r>
    </w:p>
    <w:p>
      <w:pPr>
        <w:pStyle w:val="Heading1"/>
      </w:pPr>
      <w:r>
        <w:t xml:space="preserve">Análisis de robustez</w:t>
      </w:r>
    </w:p>
    <w:p>
      <w:pPr>
        <w:pStyle w:val="BodyText"/>
      </w:pPr>
      <w:r>
        <w:rPr>
          <w:bCs/>
          <w:b/>
        </w:rPr>
        <w:t xml:space="preserve">Media de la lluvia y valores extremos.</w:t>
      </w:r>
      <w:r>
        <w:t xml:space="preserve"> </w:t>
      </w:r>
      <w:r>
        <w:t xml:space="preserve">La media (2,361 mm) baja a 1,737 mm al quitar solo el 1 % de días más lluviosos y a 0,975 mm con la media recortada al 5 %; la mediana es 0 mm. El error estándar jackknife (0,0225 mm) es igual al clásico, así que el intervalo de la S1 es correcto, pero la media no representa un día típico: conviene usar la mediana o la proporción de días con lluvia. El día más influyente es el de 371 mm.</w:t>
      </w:r>
    </w:p>
    <w:p>
      <w:pPr>
        <w:pStyle w:val="BodyText"/>
      </w:pPr>
      <w:r>
        <w:rPr>
          <w:bCs/>
          <w:b/>
        </w:rPr>
        <w:t xml:space="preserve">Supuesto de independencia.</w:t>
      </w:r>
      <w:r>
        <w:t xml:space="preserve"> </w:t>
      </w:r>
      <w:r>
        <w:t xml:space="preserve">En la S1 advertimos que los datos son días seguidos de las mismas 49 ciudades. Repetimos el bootstrap de la proporción de lluvia remuestreando ciudades completas: el intervalo pasa de [22,20 %; 22,63 %] a [20,55 %; 24,20 %], unas</w:t>
      </w:r>
      <w:r>
        <w:t xml:space="preserve"> </w:t>
      </w:r>
      <w:r>
        <w:rPr>
          <w:bCs/>
          <w:b/>
        </w:rPr>
        <w:t xml:space="preserve">8 veces más ancho</w:t>
      </w:r>
      <w:r>
        <w:t xml:space="preserve">, porque la lluvia varía mucho entre ciudades (de 6,8 % en Woomera a 36,5 % en Portland). El 22,4 % es confiable como promedio, pero la incertidumbre real es mayor que la del intervalo clásico y no conviene aplicarlo a una ciudad en particular.</w:t>
      </w:r>
    </w:p>
    <w:p>
      <w:pPr>
        <w:pStyle w:val="BodyText"/>
      </w:pPr>
      <w:r>
        <w:rPr>
          <w:bCs/>
          <w:b/>
        </w:rPr>
        <w:t xml:space="preserve">Diferencia de humedad.</w:t>
      </w:r>
      <w:r>
        <w:t xml:space="preserve"> </w:t>
      </w:r>
      <w:r>
        <w:t xml:space="preserve">Con medianas da casi lo mismo que con medias (23,0 vs. 22,3 puntos) y es positiva en las 49 ciudades (de 6,6 a 33,3 puntos): no depende de unas pocas estaciones ni de valores extremos.</w:t>
      </w:r>
    </w:p>
    <w:p>
      <w:pPr>
        <w:pStyle w:val="BodyText"/>
      </w:pPr>
      <w:r>
        <w:t xml:space="preserve">En síntesis, son confiables la diferencia de humedad, la asociación con la nubosidad (en las estaciones que la miden), las correlaciones y la persistencia de la lluvia. Requieren cautela la media de la lluvia y la precisión de la proporción global.</w:t>
      </w:r>
    </w:p>
    <w:p>
      <w:pPr>
        <w:pStyle w:val="Heading1"/>
      </w:pPr>
      <w:r>
        <w:t xml:space="preserve">Preparación para la Sumativa 3</w:t>
      </w:r>
    </w:p>
    <w:p>
      <w:pPr>
        <w:pStyle w:val="BodyText"/>
      </w:pPr>
      <w:r>
        <w:t xml:space="preserve">La Tabla 3 resume qué resultados de la S1 quedaron validados (también en</w:t>
      </w:r>
      <w:r>
        <w:t xml:space="preserve"> </w:t>
      </w:r>
      <w:r>
        <w:rPr>
          <w:rStyle w:val="VerbatimChar"/>
        </w:rPr>
        <w:t xml:space="preserve">data/processed/resultados_validados_s2.csv</w:t>
      </w:r>
      <w:r>
        <w:t xml:space="preserve">).</w:t>
      </w:r>
    </w:p>
    <w:p>
      <w:pPr>
        <w:pStyle w:val="TableCaption"/>
      </w:pPr>
      <w:r>
        <w:t xml:space="preserve">Tabla 3: Reporte de resultados validados.</w:t>
      </w:r>
    </w:p>
    <w:tbl>
      <w:tblPr>
        <w:tblStyle w:val="Table"/>
        <w:tblW w:type="pct" w:w="5000"/>
        <w:jc w:val="center"/>
        <w:tblBorders>
          <w:top w:val="single" w:sz="8" w:space="0" w:color="000000"/>
          <w:bottom w:val="single" w:sz="8" w:space="0" w:color="000000"/>
          <w:insideH w:val="single" w:sz="2" w:space="0" w:color="BFBFBF"/>
        </w:tblBorders>
        <w:tblLook w:firstRow="1" w:lastRow="0" w:firstColumn="0" w:lastColumn="0" w:noHBand="0" w:noVBand="0" w:val="0020"/>
        <w:tblCaption w:val="Tabla 3: Reporte de resultados validado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 de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Temp. máxima y humedad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Clásico, percentil y BCa coinciden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Lluvia diaria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Intervalos coinciden; muy sensible a días extremos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Cautela: usar mediana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Proporción de lluvia mañana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por ciudad 8 veces más ancho; varía entre ciudades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 como promedio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 humedad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Permutación p &lt; 0,001; se cumple en las 49 ciudades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χ² nubosidad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Permutación p &lt; 0,001; ~40 % faltante no al 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 donde se 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Correlaciones de la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bootstrap estrechos, ninguno cruza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Robustas (Temp. 9 am débil)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Persistencia (46,4 vs. 15,2 %)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reproduce la proporción observada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</w:tr>
    </w:tbl>
    <w:p>
      <w:pPr>
        <w:pStyle w:val="Heading1"/>
      </w:pPr>
      <w:r>
        <w:t xml:space="preserve">Bibliografía (APA 7)</w:t>
      </w:r>
    </w:p>
    <w:p>
      <w:pPr>
        <w:pStyle w:val="BodyText"/>
      </w:pPr>
      <w:r>
        <w:t xml:space="preserve">Efron, B. (1987). Better bootstrap confidence intervals.</w:t>
      </w:r>
      <w:r>
        <w:t xml:space="preserve"> </w:t>
      </w:r>
      <w:r>
        <w:rPr>
          <w:iCs/>
          <w:i/>
        </w:rPr>
        <w:t xml:space="preserve">Journal of the American Statistical Association, 82</w:t>
      </w:r>
      <w:r>
        <w:t xml:space="preserve">(397), 171–185. https://doi.org/10.1080/01621459.1987.10478410</w:t>
      </w:r>
    </w:p>
    <w:p>
      <w:pPr>
        <w:pStyle w:val="BodyText"/>
      </w:pPr>
      <w:r>
        <w:t xml:space="preserve">Efron, B., &amp; Tibshirani, R. J. (1993).</w:t>
      </w:r>
      <w:r>
        <w:t xml:space="preserve"> </w:t>
      </w:r>
      <w:r>
        <w:rPr>
          <w:iCs/>
          <w:i/>
        </w:rPr>
        <w:t xml:space="preserve">An introduction to the bootstrap</w:t>
      </w:r>
      <w:r>
        <w:t xml:space="preserve">. Chapman &amp; Hall.</w:t>
      </w:r>
    </w:p>
    <w:p>
      <w:pPr>
        <w:pStyle w:val="BodyText"/>
      </w:pPr>
      <w:r>
        <w:t xml:space="preserve">Good, P. I. (2005).</w:t>
      </w:r>
      <w:r>
        <w:t xml:space="preserve"> </w:t>
      </w:r>
      <w:r>
        <w:rPr>
          <w:iCs/>
          <w:i/>
        </w:rPr>
        <w:t xml:space="preserve">Permutation, parametric, and bootstrap tests of hypotheses</w:t>
      </w:r>
      <w:r>
        <w:t xml:space="preserve"> </w:t>
      </w:r>
      <w:r>
        <w:t xml:space="preserve">(3.ª ed.). Springer.</w:t>
      </w:r>
    </w:p>
    <w:p>
      <w:pPr>
        <w:pStyle w:val="BodyText"/>
      </w:pPr>
      <w:r>
        <w:t xml:space="preserve">Robert, C. P., &amp; Casella, G. (2004).</w:t>
      </w:r>
      <w:r>
        <w:t xml:space="preserve"> </w:t>
      </w:r>
      <w:r>
        <w:rPr>
          <w:iCs/>
          <w:i/>
        </w:rPr>
        <w:t xml:space="preserve">Monte Carlo statistical methods</w:t>
      </w:r>
      <w:r>
        <w:t xml:space="preserve"> </w:t>
      </w:r>
      <w:r>
        <w:t xml:space="preserve">(2.ª ed.). Springer.</w:t>
      </w:r>
    </w:p>
    <w:p>
      <w:pPr>
        <w:pStyle w:val="BodyText"/>
      </w:pPr>
      <w:r>
        <w:t xml:space="preserve">Virtanen, P., Gommers, R., Oliphant, T. E., Haberland, M., Reddy, T., Cournapeau, D., … SciPy 1.0 Contributors. (2020). SciPy 1.0: Fundamental algorithms for scientific computing in Python.</w:t>
      </w:r>
      <w:r>
        <w:t xml:space="preserve"> </w:t>
      </w:r>
      <w:r>
        <w:rPr>
          <w:iCs/>
          <w:i/>
        </w:rPr>
        <w:t xml:space="preserve">Nature Methods, 17</w:t>
      </w:r>
      <w:r>
        <w:t xml:space="preserve">(3), 261–272. https://doi.org/10.1038/s41592-019-0686-2</w:t>
      </w:r>
    </w:p>
    <w:p>
      <w:pPr>
        <w:pStyle w:val="BodyText"/>
      </w:pPr>
      <w:r>
        <w:t xml:space="preserve">Young, J. (2020).</w:t>
      </w:r>
      <w:r>
        <w:t xml:space="preserve"> </w:t>
      </w:r>
      <w:r>
        <w:rPr>
          <w:iCs/>
          <w:i/>
        </w:rPr>
        <w:t xml:space="preserve">Rain in Australia</w:t>
      </w:r>
      <w:r>
        <w:t xml:space="preserve"> </w:t>
      </w:r>
      <w:r>
        <w:t xml:space="preserve">[Conjunto de datos]. Kaggle. https://www.kaggle.com/datasets/jsphyg/weather-dataset-rattle-package</w:t>
      </w:r>
    </w:p>
    <w:bookmarkEnd w:id="35"/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Magíster en Ciencia de Datos e Inteligencia Artificial</w:t>
    </w:r>
    <w: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customStyle="1" w:styleId="BodyText">
    <w:name w:val="Body Text"/>
    <w:qFormat/>
    <w:pPr>
      <w:spacing w:before="0" w:after="120" w:line="264" w:lineRule="auto"/>
      <w:jc w:val="both"/>
    </w:pPr>
    <w:rPr>
      <w:sz w:val="21"/>
      <w:szCs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  <w:jc w:val="left"/>
    </w:pPr>
    <w:rPr>
      <w:sz w:val="18"/>
      <w:szCs w:val="18"/>
    </w:rPr>
  </w:style>
  <w:style w:type="paragraph" w:customStyle="1" w:styleId="CaptionedFigure">
    <w:name w:val="Captioned Figure"/>
    <w:qFormat/>
    <w:pPr>
      <w:keepNext/>
      <w:spacing w:before="120" w:after="0"/>
      <w:jc w:val="center"/>
    </w:pPr>
  </w:style>
  <w:style w:type="paragraph" w:customStyle="1" w:styleId="ImageCaption">
    <w:name w:val="Image Caption"/>
    <w:qFormat/>
    <w:pPr>
      <w:spacing w:before="60" w:after="200"/>
      <w:jc w:val="center"/>
    </w:pPr>
    <w:rPr>
      <w:i/>
      <w:color w:val="404040"/>
      <w:sz w:val="18"/>
      <w:szCs w:val="18"/>
    </w:rPr>
  </w:style>
  <w:style w:type="paragraph" w:customStyle="1" w:styleId="TableCaption">
    <w:name w:val="Table Caption"/>
    <w:qFormat/>
    <w:pPr>
      <w:keepNext/>
      <w:spacing w:before="160" w:after="60"/>
      <w:jc w:val="center"/>
    </w:pPr>
    <w:rPr>
      <w:i/>
      <w:color w:val="404040"/>
      <w:sz w:val="18"/>
      <w:szCs w:val="18"/>
    </w:rPr>
  </w:style>
  <w:style w:type="table" w:customStyle="1" w:styleId="Table">
    <w:name w:val="Table"/>
    <w:tblPr>
      <w:tblCellMar>
        <w:left w:w="80" w:type="dxa"/>
        <w:right w:w="80" w:type="dxa"/>
      </w:tblCellMar>
    </w:tbl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a9d4b85755b26c34cf374a1252d3d51c5da297.png"/><Relationship Id="rId9" Type="http://schemas.openxmlformats.org/officeDocument/2006/relationships/fontTable" Target="fontTable.xml"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2026-06-24T15:12:07.613Z</dcterms:created>
  <dcterms:modified xsi:type="dcterms:W3CDTF">2026-06-24T15:12:07.613Z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