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Reflect on this</w:t>
      </w:r>
    </w:p>
    <w:p>
      <w:pPr>
        <w:pStyle w:val="Heading1"/>
      </w:pPr>
      <w:r>
        <w:t xml:space="preserve">Reflect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Los datos en la tabla están bien organizados y fáciles de entender. Cada cliente tiene un número único, lo que ayuda a llevar un buen registro. 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Se pueden ver patrones, como quiénes han comprado recientemente y quiénes no lo han hecho en mucho tiempo. Esto puede servir para tomar decisiones, como enviar ofertas a clientes inactivos. 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Como la información está en un formato ordenado, se puede filtrar y analizar rápidamente con herramientas como Excel o SQL. En resumen, los datos estructurados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2025-03-12T05:24:59.248Z</dcterms:created>
  <dcterms:modified xsi:type="dcterms:W3CDTF">2025-03-12T05:24:59.248Z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