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Guia de Facilitacion Detallada Workshop 1</w:t>
      </w:r>
    </w:p>
    <w:p>
      <w:pPr>
        <w:spacing w:after="360"/>
      </w:pPr>
      <w:r>
        <w:rPr>
          <w:i/>
          <w:sz w:val="26"/>
        </w:rPr>
        <w:t>Economia de tokens, memoria de decisiones y aislamiento de contexto en OCI</w:t>
      </w:r>
    </w:p>
    <w:p>
      <w:r>
        <w:t>Esta guía acompaña la facilitación de la parte práctica del Workshop 1. Explica cómo presentar el caso, leer el código y el SDK, acompañar incidencias, interpretar la telemetría y cerrar con una conclusión arquitectónica rigurosa. El participante no observa una simulación: genera evidencia local de memoria procedural, aislamiento por alcance y dos inferencias OCI comparables.</w:t>
      </w:r>
    </w:p>
    <w:p>
      <w:r>
        <w:rPr>
          <w:b/>
        </w:rPr>
        <w:t xml:space="preserve">Mensaje central. </w:t>
      </w:r>
      <w:r>
        <w:t>Una aplicación no tiene que reenviar todas sus decisiones históricas al modelo. Puede recuperar una regla procedural relevante desde una memoria persistente y enviar un contexto más pequeño, manteniendo el comportamiento técnico esperado.</w:t>
      </w:r>
    </w:p>
    <w:p>
      <w:pPr>
        <w:pStyle w:val="Heading1"/>
      </w:pPr>
      <w:r>
        <w:t>1 Objetivo y resultados esperados</w:t>
      </w:r>
    </w:p>
    <w:p>
      <w:r>
        <w:t>El workshop demuestra una capacidad concreta de una arquitectura de agentes: memoria de decisiones con alcances gobernados. No pretende construir un agente autónomo completo ni probar una reducción universal de costo. La evidencia se limita deliberadamente a la reducción real de tokens de entrada en una comparación controlada.</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val="true"/>
        </w:trPr>
        <w:tc>
          <w:tcPr>
            <w:tcW w:type="dxa" w:w="1814"/>
            <w:shd w:fill="183C7A"/>
            <w:tcMar>
              <w:top w:w="110" w:type="dxa"/>
              <w:start w:w="110" w:type="dxa"/>
              <w:bottom w:w="110" w:type="dxa"/>
              <w:end w:w="110" w:type="dxa"/>
            </w:tcMar>
            <w:vAlign w:val="center"/>
          </w:tcPr>
          <w:p>
            <w:r>
              <w:rPr>
                <w:b/>
                <w:color w:val="FFFFFF"/>
                <w:sz w:val="18"/>
              </w:rPr>
              <w:t>Resultado</w:t>
            </w:r>
          </w:p>
        </w:tc>
        <w:tc>
          <w:tcPr>
            <w:tcW w:type="dxa" w:w="4592"/>
            <w:shd w:fill="183C7A"/>
            <w:tcMar>
              <w:top w:w="110" w:type="dxa"/>
              <w:start w:w="110" w:type="dxa"/>
              <w:bottom w:w="110" w:type="dxa"/>
              <w:end w:w="110" w:type="dxa"/>
            </w:tcMar>
            <w:vAlign w:val="center"/>
          </w:tcPr>
          <w:p>
            <w:r>
              <w:rPr>
                <w:b/>
                <w:color w:val="FFFFFF"/>
                <w:sz w:val="18"/>
              </w:rPr>
              <w:t>Qué demuestra el participante</w:t>
            </w:r>
          </w:p>
        </w:tc>
        <w:tc>
          <w:tcPr>
            <w:tcW w:type="dxa" w:w="2381"/>
            <w:shd w:fill="183C7A"/>
            <w:tcMar>
              <w:top w:w="110" w:type="dxa"/>
              <w:start w:w="110" w:type="dxa"/>
              <w:bottom w:w="110" w:type="dxa"/>
              <w:end w:w="110" w:type="dxa"/>
            </w:tcMar>
            <w:vAlign w:val="center"/>
          </w:tcPr>
          <w:p>
            <w:r>
              <w:rPr>
                <w:b/>
                <w:color w:val="FFFFFF"/>
                <w:sz w:val="18"/>
              </w:rPr>
              <w:t>Evidencia</w:t>
            </w:r>
          </w:p>
        </w:tc>
      </w:tr>
      <w:tr>
        <w:tc>
          <w:tcPr>
            <w:tcW w:type="dxa" w:w="1814"/>
            <w:tcMar>
              <w:top w:w="110" w:type="dxa"/>
              <w:start w:w="110" w:type="dxa"/>
              <w:bottom w:w="110" w:type="dxa"/>
              <w:end w:w="110" w:type="dxa"/>
            </w:tcMar>
            <w:vAlign w:val="center"/>
          </w:tcPr>
          <w:p>
            <w:r>
              <w:rPr>
                <w:sz w:val="18"/>
              </w:rPr>
              <w:t>Memoria procedural</w:t>
            </w:r>
          </w:p>
        </w:tc>
        <w:tc>
          <w:tcPr>
            <w:tcW w:type="dxa" w:w="4592"/>
            <w:tcMar>
              <w:top w:w="110" w:type="dxa"/>
              <w:start w:w="110" w:type="dxa"/>
              <w:bottom w:w="110" w:type="dxa"/>
              <w:end w:w="110" w:type="dxa"/>
            </w:tcMar>
            <w:vAlign w:val="center"/>
          </w:tcPr>
          <w:p>
            <w:r>
              <w:rPr>
                <w:sz w:val="18"/>
              </w:rPr>
              <w:t>Persiste y recupera una regla sintética mediante Oracle AI Agent Memory sobre ADB.</w:t>
            </w:r>
          </w:p>
        </w:tc>
        <w:tc>
          <w:tcPr>
            <w:tcW w:type="dxa" w:w="2381"/>
            <w:tcMar>
              <w:top w:w="110" w:type="dxa"/>
              <w:start w:w="110" w:type="dxa"/>
              <w:bottom w:w="110" w:type="dxa"/>
              <w:end w:w="110" w:type="dxa"/>
            </w:tcMar>
            <w:vAlign w:val="center"/>
          </w:tcPr>
          <w:p>
            <w:r>
              <w:rPr>
                <w:sz w:val="18"/>
              </w:rPr>
              <w:t>PERSISTENCE_CONFIRMED True</w:t>
            </w:r>
          </w:p>
        </w:tc>
      </w:tr>
      <w:tr>
        <w:tc>
          <w:tcPr>
            <w:tcW w:type="dxa" w:w="1814"/>
            <w:tcMar>
              <w:top w:w="110" w:type="dxa"/>
              <w:start w:w="110" w:type="dxa"/>
              <w:bottom w:w="110" w:type="dxa"/>
              <w:end w:w="110" w:type="dxa"/>
            </w:tcMar>
            <w:vAlign w:val="center"/>
            <w:shd w:fill="F4F7FB"/>
          </w:tcPr>
          <w:p>
            <w:r>
              <w:rPr>
                <w:sz w:val="18"/>
              </w:rPr>
              <w:t>Aislamiento de contexto</w:t>
            </w:r>
          </w:p>
        </w:tc>
        <w:tc>
          <w:tcPr>
            <w:tcW w:type="dxa" w:w="4592"/>
            <w:tcMar>
              <w:top w:w="110" w:type="dxa"/>
              <w:start w:w="110" w:type="dxa"/>
              <w:bottom w:w="110" w:type="dxa"/>
              <w:end w:w="110" w:type="dxa"/>
            </w:tcMar>
            <w:vAlign w:val="center"/>
            <w:shd w:fill="F4F7FB"/>
          </w:tcPr>
          <w:p>
            <w:r>
              <w:rPr>
                <w:sz w:val="18"/>
              </w:rPr>
              <w:t>Comprueba que una decisión del alcance de control no aparece en su alcance individual.</w:t>
            </w:r>
          </w:p>
        </w:tc>
        <w:tc>
          <w:tcPr>
            <w:tcW w:type="dxa" w:w="2381"/>
            <w:tcMar>
              <w:top w:w="110" w:type="dxa"/>
              <w:start w:w="110" w:type="dxa"/>
              <w:bottom w:w="110" w:type="dxa"/>
              <w:end w:w="110" w:type="dxa"/>
            </w:tcMar>
            <w:vAlign w:val="center"/>
            <w:shd w:fill="F4F7FB"/>
          </w:tcPr>
          <w:p>
            <w:r>
              <w:rPr>
                <w:sz w:val="18"/>
              </w:rPr>
              <w:t>ISOLATION_PASS True</w:t>
            </w:r>
          </w:p>
        </w:tc>
      </w:tr>
      <w:tr>
        <w:tc>
          <w:tcPr>
            <w:tcW w:type="dxa" w:w="1814"/>
            <w:tcMar>
              <w:top w:w="110" w:type="dxa"/>
              <w:start w:w="110" w:type="dxa"/>
              <w:bottom w:w="110" w:type="dxa"/>
              <w:end w:w="110" w:type="dxa"/>
            </w:tcMar>
            <w:vAlign w:val="center"/>
          </w:tcPr>
          <w:p>
            <w:r>
              <w:rPr>
                <w:sz w:val="18"/>
              </w:rPr>
              <w:t>Eficiencia de contexto</w:t>
            </w:r>
          </w:p>
        </w:tc>
        <w:tc>
          <w:tcPr>
            <w:tcW w:type="dxa" w:w="4592"/>
            <w:tcMar>
              <w:top w:w="110" w:type="dxa"/>
              <w:start w:w="110" w:type="dxa"/>
              <w:bottom w:w="110" w:type="dxa"/>
              <w:end w:w="110" w:type="dxa"/>
            </w:tcMar>
            <w:vAlign w:val="center"/>
          </w:tcPr>
          <w:p>
            <w:r>
              <w:rPr>
                <w:sz w:val="18"/>
              </w:rPr>
              <w:t>La variante compacta usa menos tokens de entrada y satisface los mismos criterios técnicos.</w:t>
            </w:r>
          </w:p>
        </w:tc>
        <w:tc>
          <w:tcPr>
            <w:tcW w:type="dxa" w:w="2381"/>
            <w:tcMar>
              <w:top w:w="110" w:type="dxa"/>
              <w:start w:w="110" w:type="dxa"/>
              <w:bottom w:w="110" w:type="dxa"/>
              <w:end w:w="110" w:type="dxa"/>
            </w:tcMar>
            <w:vAlign w:val="center"/>
          </w:tcPr>
          <w:p>
            <w:r>
              <w:rPr>
                <w:sz w:val="18"/>
              </w:rPr>
              <w:t>Métricas baseline y memoria</w:t>
            </w:r>
          </w:p>
        </w:tc>
      </w:tr>
      <w:tr>
        <w:tc>
          <w:tcPr>
            <w:tcW w:type="dxa" w:w="1814"/>
            <w:tcMar>
              <w:top w:w="110" w:type="dxa"/>
              <w:start w:w="110" w:type="dxa"/>
              <w:bottom w:w="110" w:type="dxa"/>
              <w:end w:w="110" w:type="dxa"/>
            </w:tcMar>
            <w:vAlign w:val="center"/>
            <w:shd w:fill="F4F7FB"/>
          </w:tcPr>
          <w:p>
            <w:r>
              <w:rPr>
                <w:sz w:val="18"/>
              </w:rPr>
              <w:t>Interpretación responsable</w:t>
            </w:r>
          </w:p>
        </w:tc>
        <w:tc>
          <w:tcPr>
            <w:tcW w:type="dxa" w:w="4592"/>
            <w:tcMar>
              <w:top w:w="110" w:type="dxa"/>
              <w:start w:w="110" w:type="dxa"/>
              <w:bottom w:w="110" w:type="dxa"/>
              <w:end w:w="110" w:type="dxa"/>
            </w:tcMar>
            <w:vAlign w:val="center"/>
            <w:shd w:fill="F4F7FB"/>
          </w:tcPr>
          <w:p>
            <w:r>
              <w:rPr>
                <w:sz w:val="18"/>
              </w:rPr>
              <w:t>Distingue entre eficiencia de contexto y ahorro total de la solución.</w:t>
            </w:r>
          </w:p>
        </w:tc>
        <w:tc>
          <w:tcPr>
            <w:tcW w:type="dxa" w:w="2381"/>
            <w:tcMar>
              <w:top w:w="110" w:type="dxa"/>
              <w:start w:w="110" w:type="dxa"/>
              <w:bottom w:w="110" w:type="dxa"/>
              <w:end w:w="110" w:type="dxa"/>
            </w:tcMar>
            <w:vAlign w:val="center"/>
            <w:shd w:fill="F4F7FB"/>
          </w:tcPr>
          <w:p>
            <w:r>
              <w:rPr>
                <w:sz w:val="18"/>
              </w:rPr>
              <w:t>Discusión guiada</w:t>
            </w:r>
          </w:p>
        </w:tc>
      </w:tr>
    </w:tbl>
    <w:p/>
    <w:p>
      <w:pPr>
        <w:pStyle w:val="Heading1"/>
      </w:pPr>
      <w:r>
        <w:t>2 Modelo de sesión y preparación del facilitador</w:t>
      </w:r>
    </w:p>
    <w:p>
      <w:r>
        <w:t>La actividad se realiza sobre un tenant configurado previamente. El aprovisionamiento es prework, no una actividad del participante. Cada asistente utiliza una identidad OCI individual, un usuario temporal de aplicación en base de datos, un wallet privado y una configuración de sesión privada. El facilitador no debe solicitar ni mostrar contraseñas, wallets, OCIDs ni tokens de sesión.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val="true"/>
        </w:trPr>
        <w:tc>
          <w:tcPr>
            <w:tcW w:type="dxa" w:w="1701"/>
            <w:shd w:fill="183C7A"/>
            <w:tcMar>
              <w:top w:w="110" w:type="dxa"/>
              <w:start w:w="110" w:type="dxa"/>
              <w:bottom w:w="110" w:type="dxa"/>
              <w:end w:w="110" w:type="dxa"/>
            </w:tcMar>
            <w:vAlign w:val="center"/>
          </w:tcPr>
          <w:p>
            <w:r>
              <w:rPr>
                <w:b/>
                <w:color w:val="FFFFFF"/>
                <w:sz w:val="18"/>
              </w:rPr>
              <w:t>Capa</w:t>
            </w:r>
          </w:p>
        </w:tc>
        <w:tc>
          <w:tcPr>
            <w:tcW w:type="dxa" w:w="3515"/>
            <w:shd w:fill="183C7A"/>
            <w:tcMar>
              <w:top w:w="110" w:type="dxa"/>
              <w:start w:w="110" w:type="dxa"/>
              <w:bottom w:w="110" w:type="dxa"/>
              <w:end w:w="110" w:type="dxa"/>
            </w:tcMar>
            <w:vAlign w:val="center"/>
          </w:tcPr>
          <w:p>
            <w:r>
              <w:rPr>
                <w:b/>
                <w:color w:val="FFFFFF"/>
                <w:sz w:val="18"/>
              </w:rPr>
              <w:t>El facilitador deja lista antes de la sesión</w:t>
            </w:r>
          </w:p>
        </w:tc>
        <w:tc>
          <w:tcPr>
            <w:tcW w:type="dxa" w:w="3572"/>
            <w:shd w:fill="183C7A"/>
            <w:tcMar>
              <w:top w:w="110" w:type="dxa"/>
              <w:start w:w="110" w:type="dxa"/>
              <w:bottom w:w="110" w:type="dxa"/>
              <w:end w:w="110" w:type="dxa"/>
            </w:tcMar>
            <w:vAlign w:val="center"/>
          </w:tcPr>
          <w:p>
            <w:r>
              <w:rPr>
                <w:b/>
                <w:color w:val="FFFFFF"/>
                <w:sz w:val="18"/>
              </w:rPr>
              <w:t>El participante utiliza</w:t>
            </w:r>
          </w:p>
        </w:tc>
      </w:tr>
      <w:tr>
        <w:tc>
          <w:tcPr>
            <w:tcW w:type="dxa" w:w="1701"/>
            <w:tcMar>
              <w:top w:w="110" w:type="dxa"/>
              <w:start w:w="110" w:type="dxa"/>
              <w:bottom w:w="110" w:type="dxa"/>
              <w:end w:w="110" w:type="dxa"/>
            </w:tcMar>
            <w:vAlign w:val="center"/>
          </w:tcPr>
          <w:p>
            <w:r>
              <w:rPr>
                <w:sz w:val="18"/>
              </w:rPr>
              <w:t>OCI</w:t>
            </w:r>
          </w:p>
        </w:tc>
        <w:tc>
          <w:tcPr>
            <w:tcW w:type="dxa" w:w="3515"/>
            <w:tcMar>
              <w:top w:w="110" w:type="dxa"/>
              <w:start w:w="110" w:type="dxa"/>
              <w:bottom w:w="110" w:type="dxa"/>
              <w:end w:w="110" w:type="dxa"/>
            </w:tcMar>
            <w:vAlign w:val="center"/>
          </w:tcPr>
          <w:p>
            <w:r>
              <w:rPr>
                <w:sz w:val="18"/>
              </w:rPr>
              <w:t>Modelo de chat on-demand aprobado, permiso IAM mínimo y región validada.</w:t>
            </w:r>
          </w:p>
        </w:tc>
        <w:tc>
          <w:tcPr>
            <w:tcW w:type="dxa" w:w="3572"/>
            <w:tcMar>
              <w:top w:w="110" w:type="dxa"/>
              <w:start w:w="110" w:type="dxa"/>
              <w:bottom w:w="110" w:type="dxa"/>
              <w:end w:w="110" w:type="dxa"/>
            </w:tcMar>
            <w:vAlign w:val="center"/>
          </w:tcPr>
          <w:p>
            <w:r>
              <w:rPr>
                <w:sz w:val="18"/>
              </w:rPr>
              <w:t>Su propia sesión OCI y perfil aprobado.</w:t>
            </w:r>
          </w:p>
        </w:tc>
      </w:tr>
      <w:tr>
        <w:tc>
          <w:tcPr>
            <w:tcW w:type="dxa" w:w="1701"/>
            <w:tcMar>
              <w:top w:w="110" w:type="dxa"/>
              <w:start w:w="110" w:type="dxa"/>
              <w:bottom w:w="110" w:type="dxa"/>
              <w:end w:w="110" w:type="dxa"/>
            </w:tcMar>
            <w:vAlign w:val="center"/>
            <w:shd w:fill="F4F7FB"/>
          </w:tcPr>
          <w:p>
            <w:r>
              <w:rPr>
                <w:sz w:val="18"/>
              </w:rPr>
              <w:t>Autonomous Database</w:t>
            </w:r>
          </w:p>
        </w:tc>
        <w:tc>
          <w:tcPr>
            <w:tcW w:type="dxa" w:w="3515"/>
            <w:tcMar>
              <w:top w:w="110" w:type="dxa"/>
              <w:start w:w="110" w:type="dxa"/>
              <w:bottom w:w="110" w:type="dxa"/>
              <w:end w:w="110" w:type="dxa"/>
            </w:tcMar>
            <w:vAlign w:val="center"/>
            <w:shd w:fill="F4F7FB"/>
          </w:tcPr>
          <w:p>
            <w:r>
              <w:rPr>
                <w:sz w:val="18"/>
              </w:rPr>
              <w:t>Owner del equipo, paquete Oracle AI Agent Memory, memory store y grants de runtime.</w:t>
            </w:r>
          </w:p>
        </w:tc>
        <w:tc>
          <w:tcPr>
            <w:tcW w:type="dxa" w:w="3572"/>
            <w:tcMar>
              <w:top w:w="110" w:type="dxa"/>
              <w:start w:w="110" w:type="dxa"/>
              <w:bottom w:w="110" w:type="dxa"/>
              <w:end w:w="110" w:type="dxa"/>
            </w:tcMar>
            <w:vAlign w:val="center"/>
            <w:shd w:fill="F4F7FB"/>
          </w:tcPr>
          <w:p>
            <w:r>
              <w:rPr>
                <w:sz w:val="18"/>
              </w:rPr>
              <w:t>Usuario temporal de aplicación y wallet privado.</w:t>
            </w:r>
          </w:p>
        </w:tc>
      </w:tr>
      <w:tr>
        <w:tc>
          <w:tcPr>
            <w:tcW w:type="dxa" w:w="1701"/>
            <w:tcMar>
              <w:top w:w="110" w:type="dxa"/>
              <w:start w:w="110" w:type="dxa"/>
              <w:bottom w:w="110" w:type="dxa"/>
              <w:end w:w="110" w:type="dxa"/>
            </w:tcMar>
            <w:vAlign w:val="center"/>
          </w:tcPr>
          <w:p>
            <w:r>
              <w:rPr>
                <w:sz w:val="18"/>
              </w:rPr>
              <w:t>Artefactos</w:t>
            </w:r>
          </w:p>
        </w:tc>
        <w:tc>
          <w:tcPr>
            <w:tcW w:type="dxa" w:w="3515"/>
            <w:tcMar>
              <w:top w:w="110" w:type="dxa"/>
              <w:start w:w="110" w:type="dxa"/>
              <w:bottom w:w="110" w:type="dxa"/>
              <w:end w:w="110" w:type="dxa"/>
            </w:tcMar>
            <w:vAlign w:val="center"/>
          </w:tcPr>
          <w:p>
            <w:r>
              <w:rPr>
                <w:sz w:val="18"/>
              </w:rPr>
              <w:t>Repositorio, plantilla de sesión, bundles sintéticos y dashboard Streamlit.</w:t>
            </w:r>
          </w:p>
        </w:tc>
        <w:tc>
          <w:tcPr>
            <w:tcW w:type="dxa" w:w="3572"/>
            <w:tcMar>
              <w:top w:w="110" w:type="dxa"/>
              <w:start w:w="110" w:type="dxa"/>
              <w:bottom w:w="110" w:type="dxa"/>
              <w:end w:w="110" w:type="dxa"/>
            </w:tcMar>
            <w:vAlign w:val="center"/>
          </w:tcPr>
          <w:p>
            <w:r>
              <w:rPr>
                <w:sz w:val="18"/>
              </w:rPr>
              <w:t>Su archivo de sesión privado y sus JSON de evidencia locales.</w:t>
            </w:r>
          </w:p>
        </w:tc>
      </w:tr>
      <w:tr>
        <w:tc>
          <w:tcPr>
            <w:tcW w:type="dxa" w:w="1701"/>
            <w:tcMar>
              <w:top w:w="110" w:type="dxa"/>
              <w:start w:w="110" w:type="dxa"/>
              <w:bottom w:w="110" w:type="dxa"/>
              <w:end w:w="110" w:type="dxa"/>
            </w:tcMar>
            <w:vAlign w:val="center"/>
            <w:shd w:fill="F4F7FB"/>
          </w:tcPr>
          <w:p>
            <w:r>
              <w:rPr>
                <w:sz w:val="18"/>
              </w:rPr>
              <w:t>Control de consumo</w:t>
            </w:r>
          </w:p>
        </w:tc>
        <w:tc>
          <w:tcPr>
            <w:tcW w:type="dxa" w:w="3515"/>
            <w:tcMar>
              <w:top w:w="110" w:type="dxa"/>
              <w:start w:w="110" w:type="dxa"/>
              <w:bottom w:w="110" w:type="dxa"/>
              <w:end w:w="110" w:type="dxa"/>
            </w:tcMar>
            <w:vAlign w:val="center"/>
            <w:shd w:fill="F4F7FB"/>
          </w:tcPr>
          <w:p>
            <w:r>
              <w:rPr>
                <w:sz w:val="18"/>
              </w:rPr>
              <w:t>Autorización presupuestaria para dos solicitudes on-demand por participante.</w:t>
            </w:r>
          </w:p>
        </w:tc>
        <w:tc>
          <w:tcPr>
            <w:tcW w:type="dxa" w:w="3572"/>
            <w:tcMar>
              <w:top w:w="110" w:type="dxa"/>
              <w:start w:w="110" w:type="dxa"/>
              <w:bottom w:w="110" w:type="dxa"/>
              <w:end w:w="110" w:type="dxa"/>
            </w:tcMar>
            <w:vAlign w:val="center"/>
            <w:shd w:fill="F4F7FB"/>
          </w:tcPr>
          <w:p>
            <w:r>
              <w:rPr>
                <w:sz w:val="18"/>
              </w:rPr>
              <w:t>Confirmación explícita antes de la comparación final.</w:t>
            </w:r>
          </w:p>
        </w:tc>
      </w:tr>
    </w:tbl>
    <w:p/>
    <w:p>
      <w:r>
        <w:rPr>
          <w:b/>
        </w:rPr>
        <w:t xml:space="preserve">Regla del facilitador. </w:t>
      </w:r>
      <w:r>
        <w:t>No crear, reparar ni cambiar infraestructura durante el ejercicio grupal, salvo que sea indispensable para recuperar un entorno ya validado. El preflight existe para detectar problemas antes de las dos inferencias.</w:t>
      </w:r>
    </w:p>
    <w:p>
      <w:pPr>
        <w:pStyle w:val="Heading1"/>
      </w:pPr>
      <w:r>
        <w:t>3 Agenda detallada</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4"/>
        <w:gridCol w:w="2464"/>
        <w:gridCol w:w="2464"/>
        <w:gridCol w:w="2464"/>
      </w:tblGrid>
      <w:tr>
        <w:trPr>
          <w:tblHeader w:val="true"/>
        </w:trPr>
        <w:tc>
          <w:tcPr>
            <w:tcW w:type="dxa" w:w="1134"/>
            <w:shd w:fill="183C7A"/>
            <w:tcMar>
              <w:top w:w="110" w:type="dxa"/>
              <w:start w:w="110" w:type="dxa"/>
              <w:bottom w:w="110" w:type="dxa"/>
              <w:end w:w="110" w:type="dxa"/>
            </w:tcMar>
            <w:vAlign w:val="center"/>
          </w:tcPr>
          <w:p>
            <w:r>
              <w:rPr>
                <w:b/>
                <w:color w:val="FFFFFF"/>
                <w:sz w:val="18"/>
              </w:rPr>
              <w:t>Tiempo</w:t>
            </w:r>
          </w:p>
        </w:tc>
        <w:tc>
          <w:tcPr>
            <w:tcW w:type="dxa" w:w="1814"/>
            <w:shd w:fill="183C7A"/>
            <w:tcMar>
              <w:top w:w="110" w:type="dxa"/>
              <w:start w:w="110" w:type="dxa"/>
              <w:bottom w:w="110" w:type="dxa"/>
              <w:end w:w="110" w:type="dxa"/>
            </w:tcMar>
            <w:vAlign w:val="center"/>
          </w:tcPr>
          <w:p>
            <w:r>
              <w:rPr>
                <w:b/>
                <w:color w:val="FFFFFF"/>
                <w:sz w:val="18"/>
              </w:rPr>
              <w:t>Actividad</w:t>
            </w:r>
          </w:p>
        </w:tc>
        <w:tc>
          <w:tcPr>
            <w:tcW w:type="dxa" w:w="3515"/>
            <w:shd w:fill="183C7A"/>
            <w:tcMar>
              <w:top w:w="110" w:type="dxa"/>
              <w:start w:w="110" w:type="dxa"/>
              <w:bottom w:w="110" w:type="dxa"/>
              <w:end w:w="110" w:type="dxa"/>
            </w:tcMar>
            <w:vAlign w:val="center"/>
          </w:tcPr>
          <w:p>
            <w:r>
              <w:rPr>
                <w:b/>
                <w:color w:val="FFFFFF"/>
                <w:sz w:val="18"/>
              </w:rPr>
              <w:t>Foco del facilitador</w:t>
            </w:r>
          </w:p>
        </w:tc>
        <w:tc>
          <w:tcPr>
            <w:tcW w:type="dxa" w:w="2324"/>
            <w:shd w:fill="183C7A"/>
            <w:tcMar>
              <w:top w:w="110" w:type="dxa"/>
              <w:start w:w="110" w:type="dxa"/>
              <w:bottom w:w="110" w:type="dxa"/>
              <w:end w:w="110" w:type="dxa"/>
            </w:tcMar>
            <w:vAlign w:val="center"/>
          </w:tcPr>
          <w:p>
            <w:r>
              <w:rPr>
                <w:b/>
                <w:color w:val="FFFFFF"/>
                <w:sz w:val="18"/>
              </w:rPr>
              <w:t>Resultado del participante</w:t>
            </w:r>
          </w:p>
        </w:tc>
      </w:tr>
      <w:tr>
        <w:tc>
          <w:tcPr>
            <w:tcW w:type="dxa" w:w="1134"/>
            <w:tcMar>
              <w:top w:w="110" w:type="dxa"/>
              <w:start w:w="110" w:type="dxa"/>
              <w:bottom w:w="110" w:type="dxa"/>
              <w:end w:w="110" w:type="dxa"/>
            </w:tcMar>
            <w:vAlign w:val="center"/>
          </w:tcPr>
          <w:p>
            <w:r>
              <w:rPr>
                <w:sz w:val="18"/>
              </w:rPr>
              <w:t>0 a 20 min</w:t>
            </w:r>
          </w:p>
        </w:tc>
        <w:tc>
          <w:tcPr>
            <w:tcW w:type="dxa" w:w="1814"/>
            <w:tcMar>
              <w:top w:w="110" w:type="dxa"/>
              <w:start w:w="110" w:type="dxa"/>
              <w:bottom w:w="110" w:type="dxa"/>
              <w:end w:w="110" w:type="dxa"/>
            </w:tcMar>
            <w:vAlign w:val="center"/>
          </w:tcPr>
          <w:p>
            <w:r>
              <w:rPr>
                <w:sz w:val="18"/>
              </w:rPr>
              <w:t>Explicación del caso</w:t>
            </w:r>
          </w:p>
        </w:tc>
        <w:tc>
          <w:tcPr>
            <w:tcW w:type="dxa" w:w="3515"/>
            <w:tcMar>
              <w:top w:w="110" w:type="dxa"/>
              <w:start w:w="110" w:type="dxa"/>
              <w:bottom w:w="110" w:type="dxa"/>
              <w:end w:w="110" w:type="dxa"/>
            </w:tcMar>
            <w:vAlign w:val="center"/>
          </w:tcPr>
          <w:p>
            <w:r>
              <w:rPr>
                <w:sz w:val="18"/>
              </w:rPr>
              <w:t>Enmarcar el problema de pagos y la comparación controlada.</w:t>
            </w:r>
          </w:p>
        </w:tc>
        <w:tc>
          <w:tcPr>
            <w:tcW w:type="dxa" w:w="2324"/>
            <w:tcMar>
              <w:top w:w="110" w:type="dxa"/>
              <w:start w:w="110" w:type="dxa"/>
              <w:bottom w:w="110" w:type="dxa"/>
              <w:end w:w="110" w:type="dxa"/>
            </w:tcMar>
            <w:vAlign w:val="center"/>
          </w:tcPr>
          <w:p>
            <w:r>
              <w:rPr>
                <w:sz w:val="18"/>
              </w:rPr>
              <w:t>Explica baseline versus memoria.</w:t>
            </w:r>
          </w:p>
        </w:tc>
      </w:tr>
      <w:tr>
        <w:tc>
          <w:tcPr>
            <w:tcW w:type="dxa" w:w="1134"/>
            <w:tcMar>
              <w:top w:w="110" w:type="dxa"/>
              <w:start w:w="110" w:type="dxa"/>
              <w:bottom w:w="110" w:type="dxa"/>
              <w:end w:w="110" w:type="dxa"/>
            </w:tcMar>
            <w:vAlign w:val="center"/>
            <w:shd w:fill="F4F7FB"/>
          </w:tcPr>
          <w:p>
            <w:r>
              <w:rPr>
                <w:sz w:val="18"/>
              </w:rPr>
              <w:t>20 a 40 min</w:t>
            </w:r>
          </w:p>
        </w:tc>
        <w:tc>
          <w:tcPr>
            <w:tcW w:type="dxa" w:w="1814"/>
            <w:tcMar>
              <w:top w:w="110" w:type="dxa"/>
              <w:start w:w="110" w:type="dxa"/>
              <w:bottom w:w="110" w:type="dxa"/>
              <w:end w:w="110" w:type="dxa"/>
            </w:tcMar>
            <w:vAlign w:val="center"/>
            <w:shd w:fill="F4F7FB"/>
          </w:tcPr>
          <w:p>
            <w:r>
              <w:rPr>
                <w:sz w:val="18"/>
              </w:rPr>
              <w:t>Lectura de código y preflight</w:t>
            </w:r>
          </w:p>
        </w:tc>
        <w:tc>
          <w:tcPr>
            <w:tcW w:type="dxa" w:w="3515"/>
            <w:tcMar>
              <w:top w:w="110" w:type="dxa"/>
              <w:start w:w="110" w:type="dxa"/>
              <w:bottom w:w="110" w:type="dxa"/>
              <w:end w:w="110" w:type="dxa"/>
            </w:tcMar>
            <w:vAlign w:val="center"/>
            <w:shd w:fill="F4F7FB"/>
          </w:tcPr>
          <w:p>
            <w:r>
              <w:rPr>
                <w:sz w:val="18"/>
              </w:rPr>
              <w:t>Relacionar SDK y launcher sin exponer secretos.</w:t>
            </w:r>
          </w:p>
        </w:tc>
        <w:tc>
          <w:tcPr>
            <w:tcW w:type="dxa" w:w="2324"/>
            <w:tcMar>
              <w:top w:w="110" w:type="dxa"/>
              <w:start w:w="110" w:type="dxa"/>
              <w:bottom w:w="110" w:type="dxa"/>
              <w:end w:w="110" w:type="dxa"/>
            </w:tcMar>
            <w:vAlign w:val="center"/>
            <w:shd w:fill="F4F7FB"/>
          </w:tcPr>
          <w:p>
            <w:r>
              <w:rPr>
                <w:sz w:val="18"/>
              </w:rPr>
              <w:t>Preflight exitoso o incidencia clasificada.</w:t>
            </w:r>
          </w:p>
        </w:tc>
      </w:tr>
      <w:tr>
        <w:tc>
          <w:tcPr>
            <w:tcW w:type="dxa" w:w="1134"/>
            <w:tcMar>
              <w:top w:w="110" w:type="dxa"/>
              <w:start w:w="110" w:type="dxa"/>
              <w:bottom w:w="110" w:type="dxa"/>
              <w:end w:w="110" w:type="dxa"/>
            </w:tcMar>
            <w:vAlign w:val="center"/>
          </w:tcPr>
          <w:p>
            <w:r>
              <w:rPr>
                <w:sz w:val="18"/>
              </w:rPr>
              <w:t>40 a 65 min</w:t>
            </w:r>
          </w:p>
        </w:tc>
        <w:tc>
          <w:tcPr>
            <w:tcW w:type="dxa" w:w="1814"/>
            <w:tcMar>
              <w:top w:w="110" w:type="dxa"/>
              <w:start w:w="110" w:type="dxa"/>
              <w:bottom w:w="110" w:type="dxa"/>
              <w:end w:w="110" w:type="dxa"/>
            </w:tcMar>
            <w:vAlign w:val="center"/>
          </w:tcPr>
          <w:p>
            <w:r>
              <w:rPr>
                <w:sz w:val="18"/>
              </w:rPr>
              <w:t>Ejercicio de memoria uno</w:t>
            </w:r>
          </w:p>
        </w:tc>
        <w:tc>
          <w:tcPr>
            <w:tcW w:type="dxa" w:w="3515"/>
            <w:tcMar>
              <w:top w:w="110" w:type="dxa"/>
              <w:start w:w="110" w:type="dxa"/>
              <w:bottom w:w="110" w:type="dxa"/>
              <w:end w:w="110" w:type="dxa"/>
            </w:tcMar>
            <w:vAlign w:val="center"/>
          </w:tcPr>
          <w:p>
            <w:r>
              <w:rPr>
                <w:sz w:val="18"/>
              </w:rPr>
              <w:t>Guiar persistencia y recuperación de payment idempotency.</w:t>
            </w:r>
          </w:p>
        </w:tc>
        <w:tc>
          <w:tcPr>
            <w:tcW w:type="dxa" w:w="2324"/>
            <w:tcMar>
              <w:top w:w="110" w:type="dxa"/>
              <w:start w:w="110" w:type="dxa"/>
              <w:bottom w:w="110" w:type="dxa"/>
              <w:end w:w="110" w:type="dxa"/>
            </w:tcMar>
            <w:vAlign w:val="center"/>
          </w:tcPr>
          <w:p>
            <w:r>
              <w:rPr>
                <w:sz w:val="18"/>
              </w:rPr>
              <w:t>Primer JSON de evidencia ADB.</w:t>
            </w:r>
          </w:p>
        </w:tc>
      </w:tr>
      <w:tr>
        <w:tc>
          <w:tcPr>
            <w:tcW w:type="dxa" w:w="1134"/>
            <w:tcMar>
              <w:top w:w="110" w:type="dxa"/>
              <w:start w:w="110" w:type="dxa"/>
              <w:bottom w:w="110" w:type="dxa"/>
              <w:end w:w="110" w:type="dxa"/>
            </w:tcMar>
            <w:vAlign w:val="center"/>
            <w:shd w:fill="F4F7FB"/>
          </w:tcPr>
          <w:p>
            <w:r>
              <w:rPr>
                <w:sz w:val="18"/>
              </w:rPr>
              <w:t>65 a 80 min</w:t>
            </w:r>
          </w:p>
        </w:tc>
        <w:tc>
          <w:tcPr>
            <w:tcW w:type="dxa" w:w="1814"/>
            <w:tcMar>
              <w:top w:w="110" w:type="dxa"/>
              <w:start w:w="110" w:type="dxa"/>
              <w:bottom w:w="110" w:type="dxa"/>
              <w:end w:w="110" w:type="dxa"/>
            </w:tcMar>
            <w:vAlign w:val="center"/>
            <w:shd w:fill="F4F7FB"/>
          </w:tcPr>
          <w:p>
            <w:r>
              <w:rPr>
                <w:sz w:val="18"/>
              </w:rPr>
              <w:t>Ejercicio de memoria dos</w:t>
            </w:r>
          </w:p>
        </w:tc>
        <w:tc>
          <w:tcPr>
            <w:tcW w:type="dxa" w:w="3515"/>
            <w:tcMar>
              <w:top w:w="110" w:type="dxa"/>
              <w:start w:w="110" w:type="dxa"/>
              <w:bottom w:w="110" w:type="dxa"/>
              <w:end w:w="110" w:type="dxa"/>
            </w:tcMar>
            <w:vAlign w:val="center"/>
            <w:shd w:fill="F4F7FB"/>
          </w:tcPr>
          <w:p>
            <w:r>
              <w:rPr>
                <w:sz w:val="18"/>
              </w:rPr>
              <w:t>Repetir con contract compatibility y comparar alcances.</w:t>
            </w:r>
          </w:p>
        </w:tc>
        <w:tc>
          <w:tcPr>
            <w:tcW w:type="dxa" w:w="2324"/>
            <w:tcMar>
              <w:top w:w="110" w:type="dxa"/>
              <w:start w:w="110" w:type="dxa"/>
              <w:bottom w:w="110" w:type="dxa"/>
              <w:end w:w="110" w:type="dxa"/>
            </w:tcMar>
            <w:vAlign w:val="center"/>
            <w:shd w:fill="F4F7FB"/>
          </w:tcPr>
          <w:p>
            <w:r>
              <w:rPr>
                <w:sz w:val="18"/>
              </w:rPr>
              <w:t>Segundo JSON de evidencia ADB.</w:t>
            </w:r>
          </w:p>
        </w:tc>
      </w:tr>
      <w:tr>
        <w:tc>
          <w:tcPr>
            <w:tcW w:type="dxa" w:w="1134"/>
            <w:tcMar>
              <w:top w:w="110" w:type="dxa"/>
              <w:start w:w="110" w:type="dxa"/>
              <w:bottom w:w="110" w:type="dxa"/>
              <w:end w:w="110" w:type="dxa"/>
            </w:tcMar>
            <w:vAlign w:val="center"/>
          </w:tcPr>
          <w:p>
            <w:r>
              <w:rPr>
                <w:sz w:val="18"/>
              </w:rPr>
              <w:t>80 a 95 min</w:t>
            </w:r>
          </w:p>
        </w:tc>
        <w:tc>
          <w:tcPr>
            <w:tcW w:type="dxa" w:w="1814"/>
            <w:tcMar>
              <w:top w:w="110" w:type="dxa"/>
              <w:start w:w="110" w:type="dxa"/>
              <w:bottom w:w="110" w:type="dxa"/>
              <w:end w:w="110" w:type="dxa"/>
            </w:tcMar>
            <w:vAlign w:val="center"/>
          </w:tcPr>
          <w:p>
            <w:r>
              <w:rPr>
                <w:sz w:val="18"/>
              </w:rPr>
              <w:t>Perspectiva de arquitectura agente</w:t>
            </w:r>
          </w:p>
        </w:tc>
        <w:tc>
          <w:tcPr>
            <w:tcW w:type="dxa" w:w="3515"/>
            <w:tcMar>
              <w:top w:w="110" w:type="dxa"/>
              <w:start w:w="110" w:type="dxa"/>
              <w:bottom w:w="110" w:type="dxa"/>
              <w:end w:w="110" w:type="dxa"/>
            </w:tcMar>
            <w:vAlign w:val="center"/>
          </w:tcPr>
          <w:p>
            <w:r>
              <w:rPr>
                <w:sz w:val="18"/>
              </w:rPr>
              <w:t>Ubicar memoria antes de la inferencia.</w:t>
            </w:r>
          </w:p>
        </w:tc>
        <w:tc>
          <w:tcPr>
            <w:tcW w:type="dxa" w:w="2324"/>
            <w:tcMar>
              <w:top w:w="110" w:type="dxa"/>
              <w:start w:w="110" w:type="dxa"/>
              <w:bottom w:w="110" w:type="dxa"/>
              <w:end w:w="110" w:type="dxa"/>
            </w:tcMar>
            <w:vAlign w:val="center"/>
          </w:tcPr>
          <w:p>
            <w:r>
              <w:rPr>
                <w:sz w:val="18"/>
              </w:rPr>
              <w:t>Explica el flujo arquitectónico.</w:t>
            </w:r>
          </w:p>
        </w:tc>
      </w:tr>
      <w:tr>
        <w:tc>
          <w:tcPr>
            <w:tcW w:type="dxa" w:w="1134"/>
            <w:tcMar>
              <w:top w:w="110" w:type="dxa"/>
              <w:start w:w="110" w:type="dxa"/>
              <w:bottom w:w="110" w:type="dxa"/>
              <w:end w:w="110" w:type="dxa"/>
            </w:tcMar>
            <w:vAlign w:val="center"/>
            <w:shd w:fill="F4F7FB"/>
          </w:tcPr>
          <w:p>
            <w:r>
              <w:rPr>
                <w:sz w:val="18"/>
              </w:rPr>
              <w:t>95 a 120 min</w:t>
            </w:r>
          </w:p>
        </w:tc>
        <w:tc>
          <w:tcPr>
            <w:tcW w:type="dxa" w:w="1814"/>
            <w:tcMar>
              <w:top w:w="110" w:type="dxa"/>
              <w:start w:w="110" w:type="dxa"/>
              <w:bottom w:w="110" w:type="dxa"/>
              <w:end w:w="110" w:type="dxa"/>
            </w:tcMar>
            <w:vAlign w:val="center"/>
            <w:shd w:fill="F4F7FB"/>
          </w:tcPr>
          <w:p>
            <w:r>
              <w:rPr>
                <w:sz w:val="18"/>
              </w:rPr>
              <w:t>Comparación de inferencia real</w:t>
            </w:r>
          </w:p>
        </w:tc>
        <w:tc>
          <w:tcPr>
            <w:tcW w:type="dxa" w:w="3515"/>
            <w:tcMar>
              <w:top w:w="110" w:type="dxa"/>
              <w:start w:w="110" w:type="dxa"/>
              <w:bottom w:w="110" w:type="dxa"/>
              <w:end w:w="110" w:type="dxa"/>
            </w:tcMar>
            <w:vAlign w:val="center"/>
            <w:shd w:fill="F4F7FB"/>
          </w:tcPr>
          <w:p>
            <w:r>
              <w:rPr>
                <w:sz w:val="18"/>
              </w:rPr>
              <w:t>Autorizar y ejecutar exactamente dos solicitudes.</w:t>
            </w:r>
          </w:p>
        </w:tc>
        <w:tc>
          <w:tcPr>
            <w:tcW w:type="dxa" w:w="2324"/>
            <w:tcMar>
              <w:top w:w="110" w:type="dxa"/>
              <w:start w:w="110" w:type="dxa"/>
              <w:bottom w:w="110" w:type="dxa"/>
              <w:end w:w="110" w:type="dxa"/>
            </w:tcMar>
            <w:vAlign w:val="center"/>
            <w:shd w:fill="F4F7FB"/>
          </w:tcPr>
          <w:p>
            <w:r>
              <w:rPr>
                <w:sz w:val="18"/>
              </w:rPr>
              <w:t>JSON de evidencia OCI con tokens.</w:t>
            </w:r>
          </w:p>
        </w:tc>
      </w:tr>
      <w:tr>
        <w:tc>
          <w:tcPr>
            <w:tcW w:type="dxa" w:w="1134"/>
            <w:tcMar>
              <w:top w:w="110" w:type="dxa"/>
              <w:start w:w="110" w:type="dxa"/>
              <w:bottom w:w="110" w:type="dxa"/>
              <w:end w:w="110" w:type="dxa"/>
            </w:tcMar>
            <w:vAlign w:val="center"/>
          </w:tcPr>
          <w:p>
            <w:r>
              <w:rPr>
                <w:sz w:val="18"/>
              </w:rPr>
              <w:t>120 a 155 min</w:t>
            </w:r>
          </w:p>
        </w:tc>
        <w:tc>
          <w:tcPr>
            <w:tcW w:type="dxa" w:w="1814"/>
            <w:tcMar>
              <w:top w:w="110" w:type="dxa"/>
              <w:start w:w="110" w:type="dxa"/>
              <w:bottom w:w="110" w:type="dxa"/>
              <w:end w:w="110" w:type="dxa"/>
            </w:tcMar>
            <w:vAlign w:val="center"/>
          </w:tcPr>
          <w:p>
            <w:r>
              <w:rPr>
                <w:sz w:val="18"/>
              </w:rPr>
              <w:t>Interpretación en dashboard</w:t>
            </w:r>
          </w:p>
        </w:tc>
        <w:tc>
          <w:tcPr>
            <w:tcW w:type="dxa" w:w="3515"/>
            <w:tcMar>
              <w:top w:w="110" w:type="dxa"/>
              <w:start w:w="110" w:type="dxa"/>
              <w:bottom w:w="110" w:type="dxa"/>
              <w:end w:w="110" w:type="dxa"/>
            </w:tcMar>
            <w:vAlign w:val="center"/>
          </w:tcPr>
          <w:p>
            <w:r>
              <w:rPr>
                <w:sz w:val="18"/>
              </w:rPr>
              <w:t>Separar telemetría factual de implicaciones de diseño.</w:t>
            </w:r>
          </w:p>
        </w:tc>
        <w:tc>
          <w:tcPr>
            <w:tcW w:type="dxa" w:w="2324"/>
            <w:tcMar>
              <w:top w:w="110" w:type="dxa"/>
              <w:start w:w="110" w:type="dxa"/>
              <w:bottom w:w="110" w:type="dxa"/>
              <w:end w:w="110" w:type="dxa"/>
            </w:tcMar>
            <w:vAlign w:val="center"/>
          </w:tcPr>
          <w:p>
            <w:r>
              <w:rPr>
                <w:sz w:val="18"/>
              </w:rPr>
              <w:t>Explica reducción y límites.</w:t>
            </w:r>
          </w:p>
        </w:tc>
      </w:tr>
      <w:tr>
        <w:tc>
          <w:tcPr>
            <w:tcW w:type="dxa" w:w="1134"/>
            <w:tcMar>
              <w:top w:w="110" w:type="dxa"/>
              <w:start w:w="110" w:type="dxa"/>
              <w:bottom w:w="110" w:type="dxa"/>
              <w:end w:w="110" w:type="dxa"/>
            </w:tcMar>
            <w:vAlign w:val="center"/>
            <w:shd w:fill="F4F7FB"/>
          </w:tcPr>
          <w:p>
            <w:r>
              <w:rPr>
                <w:sz w:val="18"/>
              </w:rPr>
              <w:t>155 a 180 min</w:t>
            </w:r>
          </w:p>
        </w:tc>
        <w:tc>
          <w:tcPr>
            <w:tcW w:type="dxa" w:w="1814"/>
            <w:tcMar>
              <w:top w:w="110" w:type="dxa"/>
              <w:start w:w="110" w:type="dxa"/>
              <w:bottom w:w="110" w:type="dxa"/>
              <w:end w:w="110" w:type="dxa"/>
            </w:tcMar>
            <w:vAlign w:val="center"/>
            <w:shd w:fill="F4F7FB"/>
          </w:tcPr>
          <w:p>
            <w:r>
              <w:rPr>
                <w:sz w:val="18"/>
              </w:rPr>
              <w:t>Cierre</w:t>
            </w:r>
          </w:p>
        </w:tc>
        <w:tc>
          <w:tcPr>
            <w:tcW w:type="dxa" w:w="3515"/>
            <w:tcMar>
              <w:top w:w="110" w:type="dxa"/>
              <w:start w:w="110" w:type="dxa"/>
              <w:bottom w:w="110" w:type="dxa"/>
              <w:end w:w="110" w:type="dxa"/>
            </w:tcMar>
            <w:vAlign w:val="center"/>
            <w:shd w:fill="F4F7FB"/>
          </w:tcPr>
          <w:p>
            <w:r>
              <w:rPr>
                <w:sz w:val="18"/>
              </w:rPr>
              <w:t>Discutir controles de producción y siguientes pasos.</w:t>
            </w:r>
          </w:p>
        </w:tc>
        <w:tc>
          <w:tcPr>
            <w:tcW w:type="dxa" w:w="2324"/>
            <w:tcMar>
              <w:top w:w="110" w:type="dxa"/>
              <w:start w:w="110" w:type="dxa"/>
              <w:bottom w:w="110" w:type="dxa"/>
              <w:end w:w="110" w:type="dxa"/>
            </w:tcMar>
            <w:vAlign w:val="center"/>
            <w:shd w:fill="F4F7FB"/>
          </w:tcPr>
          <w:p>
            <w:r>
              <w:rPr>
                <w:sz w:val="18"/>
              </w:rPr>
              <w:t>Conclusión arquitectónica defendible.</w:t>
            </w:r>
          </w:p>
        </w:tc>
      </w:tr>
    </w:tbl>
    <w:p/>
    <w:p>
      <w:pPr>
        <w:pStyle w:val="Heading1"/>
      </w:pPr>
      <w:r>
        <w:t>4 Explicación del caso</w:t>
      </w:r>
    </w:p>
    <w:p>
      <w:r>
        <w:t>El caso sintético representa una Payments API que debe procesar solicitudes de manera consistente. El equipo ha registrado decisiones procedurales sobre idempotencia, compatibilidad contractual y una regla de migración controlada que debe permanecer fuera del alcance del participante. La pregunta de ingeniería necesita una sola de esas decisiones, no todas.</w:t>
      </w:r>
    </w:p>
    <w:p>
      <w:pPr>
        <w:pStyle w:val="Heading2"/>
      </w:pPr>
      <w:r>
        <w:t>4.1 Los dos diseños de contexto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val="true"/>
        </w:trPr>
        <w:tc>
          <w:tcPr>
            <w:tcW w:type="dxa" w:w="1814"/>
            <w:shd w:fill="183C7A"/>
            <w:tcMar>
              <w:top w:w="110" w:type="dxa"/>
              <w:start w:w="110" w:type="dxa"/>
              <w:bottom w:w="110" w:type="dxa"/>
              <w:end w:w="110" w:type="dxa"/>
            </w:tcMar>
            <w:vAlign w:val="center"/>
          </w:tcPr>
          <w:p>
            <w:r>
              <w:rPr>
                <w:b/>
                <w:color w:val="FFFFFF"/>
                <w:sz w:val="18"/>
              </w:rPr>
              <w:t>Diseño</w:t>
            </w:r>
          </w:p>
        </w:tc>
        <w:tc>
          <w:tcPr>
            <w:tcW w:type="dxa" w:w="3969"/>
            <w:shd w:fill="183C7A"/>
            <w:tcMar>
              <w:top w:w="110" w:type="dxa"/>
              <w:start w:w="110" w:type="dxa"/>
              <w:bottom w:w="110" w:type="dxa"/>
              <w:end w:w="110" w:type="dxa"/>
            </w:tcMar>
            <w:vAlign w:val="center"/>
          </w:tcPr>
          <w:p>
            <w:r>
              <w:rPr>
                <w:b/>
                <w:color w:val="FFFFFF"/>
                <w:sz w:val="18"/>
              </w:rPr>
              <w:t>Qué recibe el modelo</w:t>
            </w:r>
          </w:p>
        </w:tc>
        <w:tc>
          <w:tcPr>
            <w:tcW w:type="dxa" w:w="3005"/>
            <w:shd w:fill="183C7A"/>
            <w:tcMar>
              <w:top w:w="110" w:type="dxa"/>
              <w:start w:w="110" w:type="dxa"/>
              <w:bottom w:w="110" w:type="dxa"/>
              <w:end w:w="110" w:type="dxa"/>
            </w:tcMar>
            <w:vAlign w:val="center"/>
          </w:tcPr>
          <w:p>
            <w:r>
              <w:rPr>
                <w:b/>
                <w:color w:val="FFFFFF"/>
                <w:sz w:val="18"/>
              </w:rPr>
              <w:t>Por qué existe</w:t>
            </w:r>
          </w:p>
        </w:tc>
      </w:tr>
      <w:tr>
        <w:tc>
          <w:tcPr>
            <w:tcW w:type="dxa" w:w="1814"/>
            <w:tcMar>
              <w:top w:w="110" w:type="dxa"/>
              <w:start w:w="110" w:type="dxa"/>
              <w:bottom w:w="110" w:type="dxa"/>
              <w:end w:w="110" w:type="dxa"/>
            </w:tcMar>
            <w:vAlign w:val="center"/>
          </w:tcPr>
          <w:p>
            <w:r>
              <w:rPr>
                <w:sz w:val="18"/>
              </w:rPr>
              <w:t>Baseline</w:t>
            </w:r>
          </w:p>
        </w:tc>
        <w:tc>
          <w:tcPr>
            <w:tcW w:type="dxa" w:w="3969"/>
            <w:tcMar>
              <w:top w:w="110" w:type="dxa"/>
              <w:start w:w="110" w:type="dxa"/>
              <w:bottom w:w="110" w:type="dxa"/>
              <w:end w:w="110" w:type="dxa"/>
            </w:tcMar>
            <w:vAlign w:val="center"/>
          </w:tcPr>
          <w:p>
            <w:r>
              <w:rPr>
                <w:sz w:val="18"/>
              </w:rPr>
              <w:t>La pregunta de ingeniería y todas las decisiones sintéticas del bundle.</w:t>
            </w:r>
          </w:p>
        </w:tc>
        <w:tc>
          <w:tcPr>
            <w:tcW w:type="dxa" w:w="3005"/>
            <w:tcMar>
              <w:top w:w="110" w:type="dxa"/>
              <w:start w:w="110" w:type="dxa"/>
              <w:bottom w:w="110" w:type="dxa"/>
              <w:end w:w="110" w:type="dxa"/>
            </w:tcMar>
            <w:vAlign w:val="center"/>
          </w:tcPr>
          <w:p>
            <w:r>
              <w:rPr>
                <w:sz w:val="18"/>
              </w:rPr>
              <w:t>Establece el comportamiento y cantidad de tokens de referencia.</w:t>
            </w:r>
          </w:p>
        </w:tc>
      </w:tr>
      <w:tr>
        <w:tc>
          <w:tcPr>
            <w:tcW w:type="dxa" w:w="1814"/>
            <w:tcMar>
              <w:top w:w="110" w:type="dxa"/>
              <w:start w:w="110" w:type="dxa"/>
              <w:bottom w:w="110" w:type="dxa"/>
              <w:end w:w="110" w:type="dxa"/>
            </w:tcMar>
            <w:vAlign w:val="center"/>
            <w:shd w:fill="F4F7FB"/>
          </w:tcPr>
          <w:p>
            <w:r>
              <w:rPr>
                <w:sz w:val="18"/>
              </w:rPr>
              <w:t>Optimizado con memoria</w:t>
            </w:r>
          </w:p>
        </w:tc>
        <w:tc>
          <w:tcPr>
            <w:tcW w:type="dxa" w:w="3969"/>
            <w:tcMar>
              <w:top w:w="110" w:type="dxa"/>
              <w:start w:w="110" w:type="dxa"/>
              <w:bottom w:w="110" w:type="dxa"/>
              <w:end w:w="110" w:type="dxa"/>
            </w:tcMar>
            <w:vAlign w:val="center"/>
            <w:shd w:fill="F4F7FB"/>
          </w:tcPr>
          <w:p>
            <w:r>
              <w:rPr>
                <w:sz w:val="18"/>
              </w:rPr>
              <w:t>La misma pregunta y únicamente el procedimiento recuperado desde ADB.</w:t>
            </w:r>
          </w:p>
        </w:tc>
        <w:tc>
          <w:tcPr>
            <w:tcW w:type="dxa" w:w="3005"/>
            <w:tcMar>
              <w:top w:w="110" w:type="dxa"/>
              <w:start w:w="110" w:type="dxa"/>
              <w:bottom w:w="110" w:type="dxa"/>
              <w:end w:w="110" w:type="dxa"/>
            </w:tcMar>
            <w:vAlign w:val="center"/>
            <w:shd w:fill="F4F7FB"/>
          </w:tcPr>
          <w:p>
            <w:r>
              <w:rPr>
                <w:sz w:val="18"/>
              </w:rPr>
              <w:t>Demuestra el armado selectivo de contexto.</w:t>
            </w:r>
          </w:p>
        </w:tc>
      </w:tr>
    </w:tbl>
    <w:p/>
    <w:p>
      <w:r>
        <w:rPr>
          <w:b/>
        </w:rPr>
        <w:t xml:space="preserve">Cómo explicarlo. </w:t>
      </w:r>
      <w:r>
        <w:t>No se trata de una compresión mágica. La aplicación determina qué memoria es relevante, la recupera con una búsqueda con alcance y omite las decisiones irrelevantes del prompt enviado al modelo.</w:t>
      </w:r>
    </w:p>
    <w:p>
      <w:pPr>
        <w:pStyle w:val="Heading2"/>
      </w:pPr>
      <w:r>
        <w:t>4.2 Aspectos que deben identificar los participantes</w:t>
      </w:r>
    </w:p>
    <w:p>
      <w:pPr>
        <w:pStyle w:val="ListBullet"/>
      </w:pPr>
      <w:r>
        <w:t>La memoria es procedural: conserva reglas que orientan respuestas futuras, no solo historial conversacional.</w:t>
      </w:r>
    </w:p>
    <w:p>
      <w:pPr>
        <w:pStyle w:val="ListBullet"/>
      </w:pPr>
      <w:r>
        <w:t>El alcance es una frontera de seguridad: individual, compartido y de control no tienen la misma visibilidad.</w:t>
      </w:r>
    </w:p>
    <w:p>
      <w:pPr>
        <w:pStyle w:val="ListBullet"/>
      </w:pPr>
      <w:r>
        <w:t>La recuperación ocurre antes de la inferencia; en este laboratorio el modelo no consulta por sí mismo el memory store.</w:t>
      </w:r>
    </w:p>
    <w:p>
      <w:pPr>
        <w:pStyle w:val="ListBullet"/>
      </w:pPr>
      <w:r>
        <w:t>La evaluación exige que ambas respuestas cumplan los mismos términos técnicos antes de aceptar una reducción de tokens.</w:t>
      </w:r>
    </w:p>
    <w:p>
      <w:pPr>
        <w:pStyle w:val="Heading1"/>
      </w:pPr>
      <w:r>
        <w:t>5 Lectura del código y del SDK</w:t>
      </w:r>
    </w:p>
    <w:p>
      <w:r>
        <w:t>La revisión de código debe ser breve y dirigida. El objetivo no es explicar cada línea, sino unir cada paso de ejecución con un componente Oracle y evidenciar por qué el resultado es real y verificable. Use los siguientes archivos como puntos de referencia durante el recorrido.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val="true"/>
        </w:trPr>
        <w:tc>
          <w:tcPr>
            <w:tcW w:type="dxa" w:w="1928"/>
            <w:shd w:fill="183C7A"/>
            <w:tcMar>
              <w:top w:w="110" w:type="dxa"/>
              <w:start w:w="110" w:type="dxa"/>
              <w:bottom w:w="110" w:type="dxa"/>
              <w:end w:w="110" w:type="dxa"/>
            </w:tcMar>
            <w:vAlign w:val="center"/>
          </w:tcPr>
          <w:p>
            <w:r>
              <w:rPr>
                <w:b/>
                <w:color w:val="FFFFFF"/>
                <w:sz w:val="18"/>
              </w:rPr>
              <w:t>Archivo o componente</w:t>
            </w:r>
          </w:p>
        </w:tc>
        <w:tc>
          <w:tcPr>
            <w:tcW w:type="dxa" w:w="3572"/>
            <w:shd w:fill="183C7A"/>
            <w:tcMar>
              <w:top w:w="110" w:type="dxa"/>
              <w:start w:w="110" w:type="dxa"/>
              <w:bottom w:w="110" w:type="dxa"/>
              <w:end w:w="110" w:type="dxa"/>
            </w:tcMar>
            <w:vAlign w:val="center"/>
          </w:tcPr>
          <w:p>
            <w:r>
              <w:rPr>
                <w:b/>
                <w:color w:val="FFFFFF"/>
                <w:sz w:val="18"/>
              </w:rPr>
              <w:t>Qué revisar con el grupo</w:t>
            </w:r>
          </w:p>
        </w:tc>
        <w:tc>
          <w:tcPr>
            <w:tcW w:type="dxa" w:w="3288"/>
            <w:shd w:fill="183C7A"/>
            <w:tcMar>
              <w:top w:w="110" w:type="dxa"/>
              <w:start w:w="110" w:type="dxa"/>
              <w:bottom w:w="110" w:type="dxa"/>
              <w:end w:w="110" w:type="dxa"/>
            </w:tcMar>
            <w:vAlign w:val="center"/>
          </w:tcPr>
          <w:p>
            <w:r>
              <w:rPr>
                <w:b/>
                <w:color w:val="FFFFFF"/>
                <w:sz w:val="18"/>
              </w:rPr>
              <w:t>Punto didáctico</w:t>
            </w:r>
          </w:p>
        </w:tc>
      </w:tr>
      <w:tr>
        <w:tc>
          <w:tcPr>
            <w:tcW w:type="dxa" w:w="1928"/>
            <w:tcMar>
              <w:top w:w="110" w:type="dxa"/>
              <w:start w:w="110" w:type="dxa"/>
              <w:bottom w:w="110" w:type="dxa"/>
              <w:end w:w="110" w:type="dxa"/>
            </w:tcMar>
            <w:vAlign w:val="center"/>
          </w:tcPr>
          <w:p>
            <w:r>
              <w:rPr>
                <w:sz w:val="18"/>
              </w:rPr>
              <w:t>run_participant_live.ps1</w:t>
            </w:r>
          </w:p>
        </w:tc>
        <w:tc>
          <w:tcPr>
            <w:tcW w:type="dxa" w:w="3572"/>
            <w:tcMar>
              <w:top w:w="110" w:type="dxa"/>
              <w:start w:w="110" w:type="dxa"/>
              <w:bottom w:w="110" w:type="dxa"/>
              <w:end w:w="110" w:type="dxa"/>
            </w:tcMar>
            <w:vAlign w:val="center"/>
          </w:tcPr>
          <w:p>
            <w:r>
              <w:rPr>
                <w:sz w:val="18"/>
              </w:rPr>
              <w:t>Parámetros de equipo, participante, sesión privada, preflight y ejercicio de memoria.</w:t>
            </w:r>
          </w:p>
        </w:tc>
        <w:tc>
          <w:tcPr>
            <w:tcW w:type="dxa" w:w="3288"/>
            <w:tcMar>
              <w:top w:w="110" w:type="dxa"/>
              <w:start w:w="110" w:type="dxa"/>
              <w:bottom w:w="110" w:type="dxa"/>
              <w:end w:w="110" w:type="dxa"/>
            </w:tcMar>
            <w:vAlign w:val="center"/>
          </w:tcPr>
          <w:p>
            <w:r>
              <w:rPr>
                <w:sz w:val="18"/>
              </w:rPr>
              <w:t>Separa preflight, ejercicios ADB y la corrida de dos inferencias.</w:t>
            </w:r>
          </w:p>
        </w:tc>
      </w:tr>
      <w:tr>
        <w:tc>
          <w:tcPr>
            <w:tcW w:type="dxa" w:w="1928"/>
            <w:tcMar>
              <w:top w:w="110" w:type="dxa"/>
              <w:start w:w="110" w:type="dxa"/>
              <w:bottom w:w="110" w:type="dxa"/>
              <w:end w:w="110" w:type="dxa"/>
            </w:tcMar>
            <w:vAlign w:val="center"/>
            <w:shd w:fill="F4F7FB"/>
          </w:tcPr>
          <w:p>
            <w:r>
              <w:rPr>
                <w:sz w:val="18"/>
              </w:rPr>
              <w:t>run_participant_sdk_lab.py</w:t>
            </w:r>
          </w:p>
        </w:tc>
        <w:tc>
          <w:tcPr>
            <w:tcW w:type="dxa" w:w="3572"/>
            <w:tcMar>
              <w:top w:w="110" w:type="dxa"/>
              <w:start w:w="110" w:type="dxa"/>
              <w:bottom w:w="110" w:type="dxa"/>
              <w:end w:w="110" w:type="dxa"/>
            </w:tcMar>
            <w:vAlign w:val="center"/>
            <w:shd w:fill="F4F7FB"/>
          </w:tcPr>
          <w:p>
            <w:r>
              <w:rPr>
                <w:sz w:val="18"/>
              </w:rPr>
              <w:t>Creación del pool y construcción de OracleAgentMemory.</w:t>
            </w:r>
          </w:p>
        </w:tc>
        <w:tc>
          <w:tcPr>
            <w:tcW w:type="dxa" w:w="3288"/>
            <w:tcMar>
              <w:top w:w="110" w:type="dxa"/>
              <w:start w:w="110" w:type="dxa"/>
              <w:bottom w:w="110" w:type="dxa"/>
              <w:end w:w="110" w:type="dxa"/>
            </w:tcMar>
            <w:vAlign w:val="center"/>
            <w:shd w:fill="F4F7FB"/>
          </w:tcPr>
          <w:p>
            <w:r>
              <w:rPr>
                <w:sz w:val="18"/>
              </w:rPr>
              <w:t>La aplicación usa el usuario temporal; schema_owner identifica el esquema propietario.</w:t>
            </w:r>
          </w:p>
        </w:tc>
      </w:tr>
      <w:tr>
        <w:tc>
          <w:tcPr>
            <w:tcW w:type="dxa" w:w="1928"/>
            <w:tcMar>
              <w:top w:w="110" w:type="dxa"/>
              <w:start w:w="110" w:type="dxa"/>
              <w:bottom w:w="110" w:type="dxa"/>
              <w:end w:w="110" w:type="dxa"/>
            </w:tcMar>
            <w:vAlign w:val="center"/>
          </w:tcPr>
          <w:p>
            <w:r>
              <w:rPr>
                <w:sz w:val="18"/>
              </w:rPr>
              <w:t>sdk_exercise.py</w:t>
            </w:r>
          </w:p>
        </w:tc>
        <w:tc>
          <w:tcPr>
            <w:tcW w:type="dxa" w:w="3572"/>
            <w:tcMar>
              <w:top w:w="110" w:type="dxa"/>
              <w:start w:w="110" w:type="dxa"/>
              <w:bottom w:w="110" w:type="dxa"/>
              <w:end w:w="110" w:type="dxa"/>
            </w:tcMar>
            <w:vAlign w:val="center"/>
          </w:tcPr>
          <w:p>
            <w:r>
              <w:rPr>
                <w:sz w:val="18"/>
              </w:rPr>
              <w:t>Operaciones de persistir, recuperar y aislar.</w:t>
            </w:r>
          </w:p>
        </w:tc>
        <w:tc>
          <w:tcPr>
            <w:tcW w:type="dxa" w:w="3288"/>
            <w:tcMar>
              <w:top w:w="110" w:type="dxa"/>
              <w:start w:w="110" w:type="dxa"/>
              <w:bottom w:w="110" w:type="dxa"/>
              <w:end w:w="110" w:type="dxa"/>
            </w:tcMar>
            <w:vAlign w:val="center"/>
          </w:tcPr>
          <w:p>
            <w:r>
              <w:rPr>
                <w:sz w:val="18"/>
              </w:rPr>
              <w:t>El SDK ejecuta operaciones reales sobre ADB, no un mock local.</w:t>
            </w:r>
          </w:p>
        </w:tc>
      </w:tr>
      <w:tr>
        <w:tc>
          <w:tcPr>
            <w:tcW w:type="dxa" w:w="1928"/>
            <w:tcMar>
              <w:top w:w="110" w:type="dxa"/>
              <w:start w:w="110" w:type="dxa"/>
              <w:bottom w:w="110" w:type="dxa"/>
              <w:end w:w="110" w:type="dxa"/>
            </w:tcMar>
            <w:vAlign w:val="center"/>
            <w:shd w:fill="F4F7FB"/>
          </w:tcPr>
          <w:p>
            <w:r>
              <w:rPr>
                <w:sz w:val="18"/>
              </w:rPr>
              <w:t>inference.py</w:t>
            </w:r>
          </w:p>
        </w:tc>
        <w:tc>
          <w:tcPr>
            <w:tcW w:type="dxa" w:w="3572"/>
            <w:tcMar>
              <w:top w:w="110" w:type="dxa"/>
              <w:start w:w="110" w:type="dxa"/>
              <w:bottom w:w="110" w:type="dxa"/>
              <w:end w:w="110" w:type="dxa"/>
            </w:tcMar>
            <w:vAlign w:val="center"/>
            <w:shd w:fill="F4F7FB"/>
          </w:tcPr>
          <w:p>
            <w:r>
              <w:rPr>
                <w:sz w:val="18"/>
              </w:rPr>
              <w:t>Solicitudes baseline y optimizada con el mismo modelo y configuración fija.</w:t>
            </w:r>
          </w:p>
        </w:tc>
        <w:tc>
          <w:tcPr>
            <w:tcW w:type="dxa" w:w="3288"/>
            <w:tcMar>
              <w:top w:w="110" w:type="dxa"/>
              <w:start w:w="110" w:type="dxa"/>
              <w:bottom w:w="110" w:type="dxa"/>
              <w:end w:w="110" w:type="dxa"/>
            </w:tcMar>
            <w:vAlign w:val="center"/>
            <w:shd w:fill="F4F7FB"/>
          </w:tcPr>
          <w:p>
            <w:r>
              <w:rPr>
                <w:sz w:val="18"/>
              </w:rPr>
              <w:t>Una comparación justa cambia el contexto, no el modelo ni los parámetros.</w:t>
            </w:r>
          </w:p>
        </w:tc>
      </w:tr>
      <w:tr>
        <w:tc>
          <w:tcPr>
            <w:tcW w:type="dxa" w:w="1928"/>
            <w:tcMar>
              <w:top w:w="110" w:type="dxa"/>
              <w:start w:w="110" w:type="dxa"/>
              <w:bottom w:w="110" w:type="dxa"/>
              <w:end w:w="110" w:type="dxa"/>
            </w:tcMar>
            <w:vAlign w:val="center"/>
          </w:tcPr>
          <w:p>
            <w:r>
              <w:rPr>
                <w:sz w:val="18"/>
              </w:rPr>
              <w:t>ui/app.py</w:t>
            </w:r>
          </w:p>
        </w:tc>
        <w:tc>
          <w:tcPr>
            <w:tcW w:type="dxa" w:w="3572"/>
            <w:tcMar>
              <w:top w:w="110" w:type="dxa"/>
              <w:start w:w="110" w:type="dxa"/>
              <w:bottom w:w="110" w:type="dxa"/>
              <w:end w:w="110" w:type="dxa"/>
            </w:tcMar>
            <w:vAlign w:val="center"/>
          </w:tcPr>
          <w:p>
            <w:r>
              <w:rPr>
                <w:sz w:val="18"/>
              </w:rPr>
              <w:t>Carga de evidencias y secciones del dashboard.</w:t>
            </w:r>
          </w:p>
        </w:tc>
        <w:tc>
          <w:tcPr>
            <w:tcW w:type="dxa" w:w="3288"/>
            <w:tcMar>
              <w:top w:w="110" w:type="dxa"/>
              <w:start w:w="110" w:type="dxa"/>
              <w:bottom w:w="110" w:type="dxa"/>
              <w:end w:w="110" w:type="dxa"/>
            </w:tcMar>
            <w:vAlign w:val="center"/>
          </w:tcPr>
          <w:p>
            <w:r>
              <w:rPr>
                <w:sz w:val="18"/>
              </w:rPr>
              <w:t>El dashboard lee JSON locales; no contiene credenciales ni ejecuta inferencias.</w:t>
            </w:r>
          </w:p>
        </w:tc>
      </w:tr>
    </w:tbl>
    <w:p/>
    <w:p>
      <w:pPr>
        <w:pStyle w:val="Heading2"/>
      </w:pPr>
      <w:r>
        <w:t>5.1 Configuración de memoria en runtime</w:t>
      </w:r>
    </w:p>
    <w:p>
      <w:r>
        <w:t>Muestre la construcción de OracleAgentMemory. Las decisiones importantes son usar un esquema existente, declarar el esquema owner, identificar el memory store y aplicar búsqueda por keyword. El usuario de aplicación no es el owner: recibe solamente el acceso de runtime requerido.</w:t>
      </w:r>
    </w:p>
    <w:p>
      <w:pPr>
        <w:spacing w:before="60" w:after="140"/>
        <w:ind w:left="312" w:right="312"/>
      </w:pPr>
      <w:r>
        <w:rPr>
          <w:rFonts w:ascii="Consolas" w:hAnsi="Consolas"/>
          <w:sz w:val="17"/>
        </w:rPr>
        <w:t>memory = OracleAgentMemory(</w:t>
        <w:br/>
      </w:r>
      <w:r>
        <w:rPr>
          <w:rFonts w:ascii="Consolas" w:hAnsi="Consolas"/>
          <w:sz w:val="17"/>
        </w:rPr>
        <w:t xml:space="preserve">    connection=pool,</w:t>
        <w:br/>
      </w:r>
      <w:r>
        <w:rPr>
          <w:rFonts w:ascii="Consolas" w:hAnsi="Consolas"/>
          <w:sz w:val="17"/>
        </w:rPr>
        <w:t xml:space="preserve">    schema_policy=SchemaPolicy.REQUIRE_EXISTING,</w:t>
        <w:br/>
      </w:r>
      <w:r>
        <w:rPr>
          <w:rFonts w:ascii="Consolas" w:hAnsi="Consolas"/>
          <w:sz w:val="17"/>
        </w:rPr>
        <w:t xml:space="preserve">    schema_owner=schema_owner,</w:t>
        <w:br/>
      </w:r>
      <w:r>
        <w:rPr>
          <w:rFonts w:ascii="Consolas" w:hAnsi="Consolas"/>
          <w:sz w:val="17"/>
        </w:rPr>
        <w:t xml:space="preserve">    memory_store_id=memory_store_id,</w:t>
        <w:br/>
      </w:r>
      <w:r>
        <w:rPr>
          <w:rFonts w:ascii="Consolas" w:hAnsi="Consolas"/>
          <w:sz w:val="17"/>
        </w:rPr>
        <w:t xml:space="preserve">    search_strategy=SearchStrategy.KEYWORD,</w:t>
        <w:br/>
      </w:r>
      <w:r>
        <w:rPr>
          <w:rFonts w:ascii="Consolas" w:hAnsi="Consolas"/>
          <w:sz w:val="17"/>
        </w:rPr>
        <w:t xml:space="preserve">    memory_extraction_config=MemoryExtractionConfig(extract_memories=False),</w:t>
        <w:br/>
      </w:r>
      <w:r>
        <w:rPr>
          <w:rFonts w:ascii="Consolas" w:hAnsi="Consolas"/>
          <w:sz w:val="17"/>
        </w:rPr>
        <w:t>)</w:t>
        <w:br/>
      </w:r>
    </w:p>
    <w:p>
      <w:r>
        <w:rPr>
          <w:b/>
        </w:rPr>
        <w:t xml:space="preserve">Por qué REQUIRE_EXISTING importa. </w:t>
      </w:r>
      <w:r>
        <w:t>La sesión del participante no puede crear ni actualizar el esquema de memoria. Así se evita que una ejecución del laboratorio modifique infraestructura compartida.</w:t>
      </w:r>
    </w:p>
    <w:p>
      <w:pPr>
        <w:pStyle w:val="Heading2"/>
      </w:pPr>
      <w:r>
        <w:t>5.2 Las cuatro etapas de ejecución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val="true"/>
        </w:trPr>
        <w:tc>
          <w:tcPr>
            <w:tcW w:type="dxa" w:w="1474"/>
            <w:shd w:fill="183C7A"/>
            <w:tcMar>
              <w:top w:w="110" w:type="dxa"/>
              <w:start w:w="110" w:type="dxa"/>
              <w:bottom w:w="110" w:type="dxa"/>
              <w:end w:w="110" w:type="dxa"/>
            </w:tcMar>
            <w:vAlign w:val="center"/>
          </w:tcPr>
          <w:p>
            <w:r>
              <w:rPr>
                <w:b/>
                <w:color w:val="FFFFFF"/>
                <w:sz w:val="18"/>
              </w:rPr>
              <w:t>Etapa</w:t>
            </w:r>
          </w:p>
        </w:tc>
        <w:tc>
          <w:tcPr>
            <w:tcW w:type="dxa" w:w="4535"/>
            <w:shd w:fill="183C7A"/>
            <w:tcMar>
              <w:top w:w="110" w:type="dxa"/>
              <w:start w:w="110" w:type="dxa"/>
              <w:bottom w:w="110" w:type="dxa"/>
              <w:end w:w="110" w:type="dxa"/>
            </w:tcMar>
            <w:vAlign w:val="center"/>
          </w:tcPr>
          <w:p>
            <w:r>
              <w:rPr>
                <w:b/>
                <w:color w:val="FFFFFF"/>
                <w:sz w:val="18"/>
              </w:rPr>
              <w:t>Comportamiento real</w:t>
            </w:r>
          </w:p>
        </w:tc>
        <w:tc>
          <w:tcPr>
            <w:tcW w:type="dxa" w:w="2778"/>
            <w:shd w:fill="183C7A"/>
            <w:tcMar>
              <w:top w:w="110" w:type="dxa"/>
              <w:start w:w="110" w:type="dxa"/>
              <w:bottom w:w="110" w:type="dxa"/>
              <w:end w:w="110" w:type="dxa"/>
            </w:tcMar>
            <w:vAlign w:val="center"/>
          </w:tcPr>
          <w:p>
            <w:r>
              <w:rPr>
                <w:b/>
                <w:color w:val="FFFFFF"/>
                <w:sz w:val="18"/>
              </w:rPr>
              <w:t>Señal esperada en consola</w:t>
            </w:r>
          </w:p>
        </w:tc>
      </w:tr>
      <w:tr>
        <w:tc>
          <w:tcPr>
            <w:tcW w:type="dxa" w:w="1474"/>
            <w:tcMar>
              <w:top w:w="110" w:type="dxa"/>
              <w:start w:w="110" w:type="dxa"/>
              <w:bottom w:w="110" w:type="dxa"/>
              <w:end w:w="110" w:type="dxa"/>
            </w:tcMar>
            <w:vAlign w:val="center"/>
          </w:tcPr>
          <w:p>
            <w:r>
              <w:rPr>
                <w:sz w:val="18"/>
              </w:rPr>
              <w:t>PERSIST</w:t>
            </w:r>
          </w:p>
        </w:tc>
        <w:tc>
          <w:tcPr>
            <w:tcW w:type="dxa" w:w="4535"/>
            <w:tcMar>
              <w:top w:w="110" w:type="dxa"/>
              <w:start w:w="110" w:type="dxa"/>
              <w:bottom w:w="110" w:type="dxa"/>
              <w:end w:w="110" w:type="dxa"/>
            </w:tcMar>
            <w:vAlign w:val="center"/>
          </w:tcPr>
          <w:p>
            <w:r>
              <w:rPr>
                <w:sz w:val="18"/>
              </w:rPr>
              <w:t>Escribe decisiones procedurales sintéticas dentro del alcance permitido.</w:t>
            </w:r>
          </w:p>
        </w:tc>
        <w:tc>
          <w:tcPr>
            <w:tcW w:type="dxa" w:w="2778"/>
            <w:tcMar>
              <w:top w:w="110" w:type="dxa"/>
              <w:start w:w="110" w:type="dxa"/>
              <w:bottom w:w="110" w:type="dxa"/>
              <w:end w:w="110" w:type="dxa"/>
            </w:tcMar>
            <w:vAlign w:val="center"/>
          </w:tcPr>
          <w:p>
            <w:r>
              <w:rPr>
                <w:sz w:val="18"/>
              </w:rPr>
              <w:t>PERSISTENCE_CONFIRMED True</w:t>
            </w:r>
          </w:p>
        </w:tc>
      </w:tr>
      <w:tr>
        <w:tc>
          <w:tcPr>
            <w:tcW w:type="dxa" w:w="1474"/>
            <w:tcMar>
              <w:top w:w="110" w:type="dxa"/>
              <w:start w:w="110" w:type="dxa"/>
              <w:bottom w:w="110" w:type="dxa"/>
              <w:end w:w="110" w:type="dxa"/>
            </w:tcMar>
            <w:vAlign w:val="center"/>
            <w:shd w:fill="F4F7FB"/>
          </w:tcPr>
          <w:p>
            <w:r>
              <w:rPr>
                <w:sz w:val="18"/>
              </w:rPr>
              <w:t>RETRIEVE</w:t>
            </w:r>
          </w:p>
        </w:tc>
        <w:tc>
          <w:tcPr>
            <w:tcW w:type="dxa" w:w="4535"/>
            <w:tcMar>
              <w:top w:w="110" w:type="dxa"/>
              <w:start w:w="110" w:type="dxa"/>
              <w:bottom w:w="110" w:type="dxa"/>
              <w:end w:w="110" w:type="dxa"/>
            </w:tcMar>
            <w:vAlign w:val="center"/>
            <w:shd w:fill="F4F7FB"/>
          </w:tcPr>
          <w:p>
            <w:r>
              <w:rPr>
                <w:sz w:val="18"/>
              </w:rPr>
              <w:t>Busca solamente la decisión seleccionada mediante keyword search.</w:t>
            </w:r>
          </w:p>
        </w:tc>
        <w:tc>
          <w:tcPr>
            <w:tcW w:type="dxa" w:w="2778"/>
            <w:tcMar>
              <w:top w:w="110" w:type="dxa"/>
              <w:start w:w="110" w:type="dxa"/>
              <w:bottom w:w="110" w:type="dxa"/>
              <w:end w:w="110" w:type="dxa"/>
            </w:tcMar>
            <w:vAlign w:val="center"/>
            <w:shd w:fill="F4F7FB"/>
          </w:tcPr>
          <w:p>
            <w:r>
              <w:rPr>
                <w:sz w:val="18"/>
              </w:rPr>
              <w:t>RETRIEVED_PROCEDURES contiene el procedimiento seleccionado</w:t>
            </w:r>
          </w:p>
        </w:tc>
      </w:tr>
      <w:tr>
        <w:tc>
          <w:tcPr>
            <w:tcW w:type="dxa" w:w="1474"/>
            <w:tcMar>
              <w:top w:w="110" w:type="dxa"/>
              <w:start w:w="110" w:type="dxa"/>
              <w:bottom w:w="110" w:type="dxa"/>
              <w:end w:w="110" w:type="dxa"/>
            </w:tcMar>
            <w:vAlign w:val="center"/>
          </w:tcPr>
          <w:p>
            <w:r>
              <w:rPr>
                <w:sz w:val="18"/>
              </w:rPr>
              <w:t>ISOLATE</w:t>
            </w:r>
          </w:p>
        </w:tc>
        <w:tc>
          <w:tcPr>
            <w:tcW w:type="dxa" w:w="4535"/>
            <w:tcMar>
              <w:top w:w="110" w:type="dxa"/>
              <w:start w:w="110" w:type="dxa"/>
              <w:bottom w:w="110" w:type="dxa"/>
              <w:end w:w="110" w:type="dxa"/>
            </w:tcMar>
            <w:vAlign w:val="center"/>
          </w:tcPr>
          <w:p>
            <w:r>
              <w:rPr>
                <w:sz w:val="18"/>
              </w:rPr>
              <w:t>Intenta alcanzar una decisión del scope de control y verifica que no aparezca.</w:t>
            </w:r>
          </w:p>
        </w:tc>
        <w:tc>
          <w:tcPr>
            <w:tcW w:type="dxa" w:w="2778"/>
            <w:tcMar>
              <w:top w:w="110" w:type="dxa"/>
              <w:start w:w="110" w:type="dxa"/>
              <w:bottom w:w="110" w:type="dxa"/>
              <w:end w:w="110" w:type="dxa"/>
            </w:tcMar>
            <w:vAlign w:val="center"/>
          </w:tcPr>
          <w:p>
            <w:r>
              <w:rPr>
                <w:sz w:val="18"/>
              </w:rPr>
              <w:t>ISOLATION_PASS True</w:t>
            </w:r>
          </w:p>
        </w:tc>
      </w:tr>
      <w:tr>
        <w:tc>
          <w:tcPr>
            <w:tcW w:type="dxa" w:w="1474"/>
            <w:tcMar>
              <w:top w:w="110" w:type="dxa"/>
              <w:start w:w="110" w:type="dxa"/>
              <w:bottom w:w="110" w:type="dxa"/>
              <w:end w:w="110" w:type="dxa"/>
            </w:tcMar>
            <w:vAlign w:val="center"/>
            <w:shd w:fill="F4F7FB"/>
          </w:tcPr>
          <w:p>
            <w:r>
              <w:rPr>
                <w:sz w:val="18"/>
              </w:rPr>
              <w:t>COMPARE</w:t>
            </w:r>
          </w:p>
        </w:tc>
        <w:tc>
          <w:tcPr>
            <w:tcW w:type="dxa" w:w="4535"/>
            <w:tcMar>
              <w:top w:w="110" w:type="dxa"/>
              <w:start w:w="110" w:type="dxa"/>
              <w:bottom w:w="110" w:type="dxa"/>
              <w:end w:w="110" w:type="dxa"/>
            </w:tcMar>
            <w:vAlign w:val="center"/>
            <w:shd w:fill="F4F7FB"/>
          </w:tcPr>
          <w:p>
            <w:r>
              <w:rPr>
                <w:sz w:val="18"/>
              </w:rPr>
              <w:t>Ejecuta baseline y memoria solo en el flujo final autorizado.</w:t>
            </w:r>
          </w:p>
        </w:tc>
        <w:tc>
          <w:tcPr>
            <w:tcW w:type="dxa" w:w="2778"/>
            <w:tcMar>
              <w:top w:w="110" w:type="dxa"/>
              <w:start w:w="110" w:type="dxa"/>
              <w:bottom w:w="110" w:type="dxa"/>
              <w:end w:w="110" w:type="dxa"/>
            </w:tcMar>
            <w:vAlign w:val="center"/>
            <w:shd w:fill="F4F7FB"/>
          </w:tcPr>
          <w:p>
            <w:r>
              <w:rPr>
                <w:sz w:val="18"/>
              </w:rPr>
              <w:t>Métricas de tokens y TOKEN_QUALITY_PASS True</w:t>
            </w:r>
          </w:p>
        </w:tc>
      </w:tr>
    </w:tbl>
    <w:p/>
    <w:p>
      <w:pPr>
        <w:pStyle w:val="Heading2"/>
      </w:pPr>
      <w:r>
        <w:t>5.3 Preguntas para una lectura activa</w:t>
      </w:r>
    </w:p>
    <w:p>
      <w:pPr>
        <w:pStyle w:val="ListBullet"/>
      </w:pPr>
      <w:r>
        <w:t>¿Qué valor identifica el esquema owner y cuál identifica al participante actual?</w:t>
      </w:r>
    </w:p>
    <w:p>
      <w:pPr>
        <w:pStyle w:val="ListBullet"/>
      </w:pPr>
      <w:r>
        <w:t>¿Qué invalidaría la comparación si baseline usara otro modelo o un límite de salida distinto?</w:t>
      </w:r>
    </w:p>
    <w:p>
      <w:pPr>
        <w:pStyle w:val="ListBullet"/>
      </w:pPr>
      <w:r>
        <w:t>¿Por qué cambiar un selector en el dashboard no ejecuta una nueva solicitud OCI?</w:t>
      </w:r>
    </w:p>
    <w:p>
      <w:pPr>
        <w:pStyle w:val="ListBullet"/>
      </w:pPr>
      <w:r>
        <w:t>¿Qué política habría que modificar si el participante pudiera crear un memory store?</w:t>
      </w:r>
    </w:p>
    <w:p>
      <w:pPr>
        <w:pStyle w:val="Heading1"/>
      </w:pPr>
      <w:r>
        <w:t>6 Soporte a incidencias</w:t>
      </w:r>
    </w:p>
    <w:p>
      <w:r>
        <w:t>Ejecute preflight antes de cualquier inferencia. Las incidencias deben clasificarse, no resolverse por intuición. Solicite al participante la línea final de estado o la categoría del error, nunca contraseñas, tokens, archivos de wallet ni contenido de archivos de configuración privados.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4"/>
        <w:gridCol w:w="2464"/>
        <w:gridCol w:w="2464"/>
        <w:gridCol w:w="2464"/>
      </w:tblGrid>
      <w:tr>
        <w:trPr>
          <w:tblHeader w:val="true"/>
        </w:trPr>
        <w:tc>
          <w:tcPr>
            <w:tcW w:type="dxa" w:w="1814"/>
            <w:shd w:fill="183C7A"/>
            <w:tcMar>
              <w:top w:w="110" w:type="dxa"/>
              <w:start w:w="110" w:type="dxa"/>
              <w:bottom w:w="110" w:type="dxa"/>
              <w:end w:w="110" w:type="dxa"/>
            </w:tcMar>
            <w:vAlign w:val="center"/>
          </w:tcPr>
          <w:p>
            <w:r>
              <w:rPr>
                <w:b/>
                <w:color w:val="FFFFFF"/>
                <w:sz w:val="18"/>
              </w:rPr>
              <w:t>Síntoma</w:t>
            </w:r>
          </w:p>
        </w:tc>
        <w:tc>
          <w:tcPr>
            <w:tcW w:type="dxa" w:w="2211"/>
            <w:shd w:fill="183C7A"/>
            <w:tcMar>
              <w:top w:w="110" w:type="dxa"/>
              <w:start w:w="110" w:type="dxa"/>
              <w:bottom w:w="110" w:type="dxa"/>
              <w:end w:w="110" w:type="dxa"/>
            </w:tcMar>
            <w:vAlign w:val="center"/>
          </w:tcPr>
          <w:p>
            <w:r>
              <w:rPr>
                <w:b/>
                <w:color w:val="FFFFFF"/>
                <w:sz w:val="18"/>
              </w:rPr>
              <w:t>Causa probable</w:t>
            </w:r>
          </w:p>
        </w:tc>
        <w:tc>
          <w:tcPr>
            <w:tcW w:type="dxa" w:w="3118"/>
            <w:shd w:fill="183C7A"/>
            <w:tcMar>
              <w:top w:w="110" w:type="dxa"/>
              <w:start w:w="110" w:type="dxa"/>
              <w:bottom w:w="110" w:type="dxa"/>
              <w:end w:w="110" w:type="dxa"/>
            </w:tcMar>
            <w:vAlign w:val="center"/>
          </w:tcPr>
          <w:p>
            <w:r>
              <w:rPr>
                <w:b/>
                <w:color w:val="FFFFFF"/>
                <w:sz w:val="18"/>
              </w:rPr>
              <w:t>Acción segura</w:t>
            </w:r>
          </w:p>
        </w:tc>
        <w:tc>
          <w:tcPr>
            <w:tcW w:type="dxa" w:w="1701"/>
            <w:shd w:fill="183C7A"/>
            <w:tcMar>
              <w:top w:w="110" w:type="dxa"/>
              <w:start w:w="110" w:type="dxa"/>
              <w:bottom w:w="110" w:type="dxa"/>
              <w:end w:w="110" w:type="dxa"/>
            </w:tcMar>
            <w:vAlign w:val="center"/>
          </w:tcPr>
          <w:p>
            <w:r>
              <w:rPr>
                <w:b/>
                <w:color w:val="FFFFFF"/>
                <w:sz w:val="18"/>
              </w:rPr>
              <w:t>No hacer</w:t>
            </w:r>
          </w:p>
        </w:tc>
      </w:tr>
      <w:tr>
        <w:tc>
          <w:tcPr>
            <w:tcW w:type="dxa" w:w="1814"/>
            <w:tcMar>
              <w:top w:w="110" w:type="dxa"/>
              <w:start w:w="110" w:type="dxa"/>
              <w:bottom w:w="110" w:type="dxa"/>
              <w:end w:w="110" w:type="dxa"/>
            </w:tcMar>
            <w:vAlign w:val="center"/>
          </w:tcPr>
          <w:p>
            <w:r>
              <w:rPr>
                <w:sz w:val="18"/>
              </w:rPr>
              <w:t>Falla la identidad OCI</w:t>
            </w:r>
          </w:p>
        </w:tc>
        <w:tc>
          <w:tcPr>
            <w:tcW w:type="dxa" w:w="2211"/>
            <w:tcMar>
              <w:top w:w="110" w:type="dxa"/>
              <w:start w:w="110" w:type="dxa"/>
              <w:bottom w:w="110" w:type="dxa"/>
              <w:end w:w="110" w:type="dxa"/>
            </w:tcMar>
            <w:vAlign w:val="center"/>
          </w:tcPr>
          <w:p>
            <w:r>
              <w:rPr>
                <w:sz w:val="18"/>
              </w:rPr>
              <w:t>Sesión vencida, ruta privada incorrecta o permiso faltante.</w:t>
            </w:r>
          </w:p>
        </w:tc>
        <w:tc>
          <w:tcPr>
            <w:tcW w:type="dxa" w:w="3118"/>
            <w:tcMar>
              <w:top w:w="110" w:type="dxa"/>
              <w:start w:w="110" w:type="dxa"/>
              <w:bottom w:w="110" w:type="dxa"/>
              <w:end w:w="110" w:type="dxa"/>
            </w:tcMar>
            <w:vAlign w:val="center"/>
          </w:tcPr>
          <w:p>
            <w:r>
              <w:rPr>
                <w:sz w:val="18"/>
              </w:rPr>
              <w:t>Validar perfil y renovar la sesión browser del participante antes de preflight.</w:t>
            </w:r>
          </w:p>
        </w:tc>
        <w:tc>
          <w:tcPr>
            <w:tcW w:type="dxa" w:w="1701"/>
            <w:tcMar>
              <w:top w:w="110" w:type="dxa"/>
              <w:start w:w="110" w:type="dxa"/>
              <w:bottom w:w="110" w:type="dxa"/>
              <w:end w:w="110" w:type="dxa"/>
            </w:tcMar>
            <w:vAlign w:val="center"/>
          </w:tcPr>
          <w:p>
            <w:r>
              <w:rPr>
                <w:sz w:val="18"/>
              </w:rPr>
              <w:t>No reutilizar la sesión de otro participante ni revelar tokens.</w:t>
            </w:r>
          </w:p>
        </w:tc>
      </w:tr>
      <w:tr>
        <w:tc>
          <w:tcPr>
            <w:tcW w:type="dxa" w:w="1814"/>
            <w:tcMar>
              <w:top w:w="110" w:type="dxa"/>
              <w:start w:w="110" w:type="dxa"/>
              <w:bottom w:w="110" w:type="dxa"/>
              <w:end w:w="110" w:type="dxa"/>
            </w:tcMar>
            <w:vAlign w:val="center"/>
            <w:shd w:fill="F4F7FB"/>
          </w:tcPr>
          <w:p>
            <w:r>
              <w:rPr>
                <w:sz w:val="18"/>
              </w:rPr>
              <w:t>Falla wallet o base de datos</w:t>
            </w:r>
          </w:p>
        </w:tc>
        <w:tc>
          <w:tcPr>
            <w:tcW w:type="dxa" w:w="2211"/>
            <w:tcMar>
              <w:top w:w="110" w:type="dxa"/>
              <w:start w:w="110" w:type="dxa"/>
              <w:bottom w:w="110" w:type="dxa"/>
              <w:end w:w="110" w:type="dxa"/>
            </w:tcMar>
            <w:vAlign w:val="center"/>
            <w:shd w:fill="F4F7FB"/>
          </w:tcPr>
          <w:p>
            <w:r>
              <w:rPr>
                <w:sz w:val="18"/>
              </w:rPr>
              <w:t>Ruta del wallet, alias TNS, password del wallet o del usuario incorrecta.</w:t>
            </w:r>
          </w:p>
        </w:tc>
        <w:tc>
          <w:tcPr>
            <w:tcW w:type="dxa" w:w="3118"/>
            <w:tcMar>
              <w:top w:w="110" w:type="dxa"/>
              <w:start w:w="110" w:type="dxa"/>
              <w:bottom w:w="110" w:type="dxa"/>
              <w:end w:w="110" w:type="dxa"/>
            </w:tcMar>
            <w:vAlign w:val="center"/>
            <w:shd w:fill="F4F7FB"/>
          </w:tcPr>
          <w:p>
            <w:r>
              <w:rPr>
                <w:sz w:val="18"/>
              </w:rPr>
              <w:t>Validar archivos esperados, alias y conexión con usuario de aplicación.</w:t>
            </w:r>
          </w:p>
        </w:tc>
        <w:tc>
          <w:tcPr>
            <w:tcW w:type="dxa" w:w="1701"/>
            <w:tcMar>
              <w:top w:w="110" w:type="dxa"/>
              <w:start w:w="110" w:type="dxa"/>
              <w:bottom w:w="110" w:type="dxa"/>
              <w:end w:w="110" w:type="dxa"/>
            </w:tcMar>
            <w:vAlign w:val="center"/>
            <w:shd w:fill="F4F7FB"/>
          </w:tcPr>
          <w:p>
            <w:r>
              <w:rPr>
                <w:sz w:val="18"/>
              </w:rPr>
              <w:t>No sustituir el usuario por ADMIN.</w:t>
            </w:r>
          </w:p>
        </w:tc>
      </w:tr>
      <w:tr>
        <w:tc>
          <w:tcPr>
            <w:tcW w:type="dxa" w:w="1814"/>
            <w:tcMar>
              <w:top w:w="110" w:type="dxa"/>
              <w:start w:w="110" w:type="dxa"/>
              <w:bottom w:w="110" w:type="dxa"/>
              <w:end w:w="110" w:type="dxa"/>
            </w:tcMar>
            <w:vAlign w:val="center"/>
          </w:tcPr>
          <w:p>
            <w:r>
              <w:rPr>
                <w:sz w:val="18"/>
              </w:rPr>
              <w:t>Error de memory store package</w:t>
            </w:r>
          </w:p>
        </w:tc>
        <w:tc>
          <w:tcPr>
            <w:tcW w:type="dxa" w:w="2211"/>
            <w:tcMar>
              <w:top w:w="110" w:type="dxa"/>
              <w:start w:w="110" w:type="dxa"/>
              <w:bottom w:w="110" w:type="dxa"/>
              <w:end w:w="110" w:type="dxa"/>
            </w:tcMar>
            <w:vAlign w:val="center"/>
          </w:tcPr>
          <w:p>
            <w:r>
              <w:rPr>
                <w:sz w:val="18"/>
              </w:rPr>
              <w:t>Desalineación de owner, store ID, grant o inicialización.</w:t>
            </w:r>
          </w:p>
        </w:tc>
        <w:tc>
          <w:tcPr>
            <w:tcW w:type="dxa" w:w="3118"/>
            <w:tcMar>
              <w:top w:w="110" w:type="dxa"/>
              <w:start w:w="110" w:type="dxa"/>
              <w:bottom w:w="110" w:type="dxa"/>
              <w:end w:w="110" w:type="dxa"/>
            </w:tcMar>
            <w:vAlign w:val="center"/>
          </w:tcPr>
          <w:p>
            <w:r>
              <w:rPr>
                <w:sz w:val="18"/>
              </w:rPr>
              <w:t>Validar handshake owner-qualified y el store precreado; reparar solo como owner.</w:t>
            </w:r>
          </w:p>
        </w:tc>
        <w:tc>
          <w:tcPr>
            <w:tcW w:type="dxa" w:w="1701"/>
            <w:tcMar>
              <w:top w:w="110" w:type="dxa"/>
              <w:start w:w="110" w:type="dxa"/>
              <w:bottom w:w="110" w:type="dxa"/>
              <w:end w:w="110" w:type="dxa"/>
            </w:tcMar>
            <w:vAlign w:val="center"/>
          </w:tcPr>
          <w:p>
            <w:r>
              <w:rPr>
                <w:sz w:val="18"/>
              </w:rPr>
              <w:t>No ejecutar bootstrap como participante.</w:t>
            </w:r>
          </w:p>
        </w:tc>
      </w:tr>
      <w:tr>
        <w:tc>
          <w:tcPr>
            <w:tcW w:type="dxa" w:w="1814"/>
            <w:tcMar>
              <w:top w:w="110" w:type="dxa"/>
              <w:start w:w="110" w:type="dxa"/>
              <w:bottom w:w="110" w:type="dxa"/>
              <w:end w:w="110" w:type="dxa"/>
            </w:tcMar>
            <w:vAlign w:val="center"/>
            <w:shd w:fill="F4F7FB"/>
          </w:tcPr>
          <w:p>
            <w:r>
              <w:rPr>
                <w:sz w:val="18"/>
              </w:rPr>
              <w:t>401 durante inferencia</w:t>
            </w:r>
          </w:p>
        </w:tc>
        <w:tc>
          <w:tcPr>
            <w:tcW w:type="dxa" w:w="2211"/>
            <w:tcMar>
              <w:top w:w="110" w:type="dxa"/>
              <w:start w:w="110" w:type="dxa"/>
              <w:bottom w:w="110" w:type="dxa"/>
              <w:end w:w="110" w:type="dxa"/>
            </w:tcMar>
            <w:vAlign w:val="center"/>
            <w:shd w:fill="F4F7FB"/>
          </w:tcPr>
          <w:p>
            <w:r>
              <w:rPr>
                <w:sz w:val="18"/>
              </w:rPr>
              <w:t>Sesión OCI vencida o perfil cambiado.</w:t>
            </w:r>
          </w:p>
        </w:tc>
        <w:tc>
          <w:tcPr>
            <w:tcW w:type="dxa" w:w="3118"/>
            <w:tcMar>
              <w:top w:w="110" w:type="dxa"/>
              <w:start w:w="110" w:type="dxa"/>
              <w:bottom w:w="110" w:type="dxa"/>
              <w:end w:w="110" w:type="dxa"/>
            </w:tcMar>
            <w:vAlign w:val="center"/>
            <w:shd w:fill="F4F7FB"/>
          </w:tcPr>
          <w:p>
            <w:r>
              <w:rPr>
                <w:sz w:val="18"/>
              </w:rPr>
              <w:t>Renovar sesión individual y reiniciar la comparación final.</w:t>
            </w:r>
          </w:p>
        </w:tc>
        <w:tc>
          <w:tcPr>
            <w:tcW w:type="dxa" w:w="1701"/>
            <w:tcMar>
              <w:top w:w="110" w:type="dxa"/>
              <w:start w:w="110" w:type="dxa"/>
              <w:bottom w:w="110" w:type="dxa"/>
              <w:end w:w="110" w:type="dxa"/>
            </w:tcMar>
            <w:vAlign w:val="center"/>
            <w:shd w:fill="F4F7FB"/>
          </w:tcPr>
          <w:p>
            <w:r>
              <w:rPr>
                <w:sz w:val="18"/>
              </w:rPr>
              <w:t>No cambiar región, modelo ni ampliar IAM durante la sesión.</w:t>
            </w:r>
          </w:p>
        </w:tc>
      </w:tr>
      <w:tr>
        <w:tc>
          <w:tcPr>
            <w:tcW w:type="dxa" w:w="1814"/>
            <w:tcMar>
              <w:top w:w="110" w:type="dxa"/>
              <w:start w:w="110" w:type="dxa"/>
              <w:bottom w:w="110" w:type="dxa"/>
              <w:end w:w="110" w:type="dxa"/>
            </w:tcMar>
            <w:vAlign w:val="center"/>
          </w:tcPr>
          <w:p>
            <w:r>
              <w:rPr>
                <w:sz w:val="18"/>
              </w:rPr>
              <w:t>Se rechaza calidad o comparación</w:t>
            </w:r>
          </w:p>
        </w:tc>
        <w:tc>
          <w:tcPr>
            <w:tcW w:type="dxa" w:w="2211"/>
            <w:tcMar>
              <w:top w:w="110" w:type="dxa"/>
              <w:start w:w="110" w:type="dxa"/>
              <w:bottom w:w="110" w:type="dxa"/>
              <w:end w:w="110" w:type="dxa"/>
            </w:tcMar>
            <w:vAlign w:val="center"/>
          </w:tcPr>
          <w:p>
            <w:r>
              <w:rPr>
                <w:sz w:val="18"/>
              </w:rPr>
              <w:t>Respuesta incompleta, términos ausentes o prompt optimizado no menor.</w:t>
            </w:r>
          </w:p>
        </w:tc>
        <w:tc>
          <w:tcPr>
            <w:tcW w:type="dxa" w:w="3118"/>
            <w:tcMar>
              <w:top w:w="110" w:type="dxa"/>
              <w:start w:w="110" w:type="dxa"/>
              <w:bottom w:w="110" w:type="dxa"/>
              <w:end w:w="110" w:type="dxa"/>
            </w:tcMar>
            <w:vAlign w:val="center"/>
          </w:tcPr>
          <w:p>
            <w:r>
              <w:rPr>
                <w:sz w:val="18"/>
              </w:rPr>
              <w:t>Revisar bundle sintético y parámetros aprobados conservando equivalencia.</w:t>
            </w:r>
          </w:p>
        </w:tc>
        <w:tc>
          <w:tcPr>
            <w:tcW w:type="dxa" w:w="1701"/>
            <w:tcMar>
              <w:top w:w="110" w:type="dxa"/>
              <w:start w:w="110" w:type="dxa"/>
              <w:bottom w:w="110" w:type="dxa"/>
              <w:end w:w="110" w:type="dxa"/>
            </w:tcMar>
            <w:vAlign w:val="center"/>
          </w:tcPr>
          <w:p>
            <w:r>
              <w:rPr>
                <w:sz w:val="18"/>
              </w:rPr>
              <w:t>No editar manualmente el JSON de evidencia.</w:t>
            </w:r>
          </w:p>
        </w:tc>
      </w:tr>
      <w:tr>
        <w:tc>
          <w:tcPr>
            <w:tcW w:type="dxa" w:w="1814"/>
            <w:tcMar>
              <w:top w:w="110" w:type="dxa"/>
              <w:start w:w="110" w:type="dxa"/>
              <w:bottom w:w="110" w:type="dxa"/>
              <w:end w:w="110" w:type="dxa"/>
            </w:tcMar>
            <w:vAlign w:val="center"/>
            <w:shd w:fill="F4F7FB"/>
          </w:tcPr>
          <w:p>
            <w:r>
              <w:rPr>
                <w:sz w:val="18"/>
              </w:rPr>
              <w:t>Dashboard inaccesible</w:t>
            </w:r>
          </w:p>
        </w:tc>
        <w:tc>
          <w:tcPr>
            <w:tcW w:type="dxa" w:w="2211"/>
            <w:tcMar>
              <w:top w:w="110" w:type="dxa"/>
              <w:start w:w="110" w:type="dxa"/>
              <w:bottom w:w="110" w:type="dxa"/>
              <w:end w:w="110" w:type="dxa"/>
            </w:tcMar>
            <w:vAlign w:val="center"/>
            <w:shd w:fill="F4F7FB"/>
          </w:tcPr>
          <w:p>
            <w:r>
              <w:rPr>
                <w:sz w:val="18"/>
              </w:rPr>
              <w:t>Proceso Streamlit detenido o URL local incorrecta.</w:t>
            </w:r>
          </w:p>
        </w:tc>
        <w:tc>
          <w:tcPr>
            <w:tcW w:type="dxa" w:w="3118"/>
            <w:tcMar>
              <w:top w:w="110" w:type="dxa"/>
              <w:start w:w="110" w:type="dxa"/>
              <w:bottom w:w="110" w:type="dxa"/>
              <w:end w:w="110" w:type="dxa"/>
            </w:tcMar>
            <w:vAlign w:val="center"/>
            <w:shd w:fill="F4F7FB"/>
          </w:tcPr>
          <w:p>
            <w:r>
              <w:rPr>
                <w:sz w:val="18"/>
              </w:rPr>
              <w:t>Reiniciar Streamlit desde el entorno virtual y recargar localhost.</w:t>
            </w:r>
          </w:p>
        </w:tc>
        <w:tc>
          <w:tcPr>
            <w:tcW w:type="dxa" w:w="1701"/>
            <w:tcMar>
              <w:top w:w="110" w:type="dxa"/>
              <w:start w:w="110" w:type="dxa"/>
              <w:bottom w:w="110" w:type="dxa"/>
              <w:end w:w="110" w:type="dxa"/>
            </w:tcMar>
            <w:vAlign w:val="center"/>
            <w:shd w:fill="F4F7FB"/>
          </w:tcPr>
          <w:p>
            <w:r>
              <w:rPr>
                <w:sz w:val="18"/>
              </w:rPr>
              <w:t>No publicar el dashboard ni agregar credenciales.</w:t>
            </w:r>
          </w:p>
        </w:tc>
      </w:tr>
    </w:tbl>
    <w:p/>
    <w:p>
      <w:pPr>
        <w:pStyle w:val="Heading2"/>
      </w:pPr>
      <w:r>
        <w:t>6.1 Secuencia de escalamiento</w:t>
      </w:r>
    </w:p>
    <w:p>
      <w:pPr>
        <w:pStyle w:val="ListNumber"/>
      </w:pPr>
      <w:r>
        <w:t>Detener antes de inferencia si preflight no termina. El participante puede observar código y evidencias de otro equipo mientras se atiende el problema.</w:t>
      </w:r>
    </w:p>
    <w:p>
      <w:pPr>
        <w:pStyle w:val="ListNumber"/>
      </w:pPr>
      <w:r>
        <w:t>Para ADB, validar primero wallet, alias DSN y usuario de aplicación. Luego validar el paquete Agent Memory calificado por owner.</w:t>
      </w:r>
    </w:p>
    <w:p>
      <w:pPr>
        <w:pStyle w:val="ListNumber"/>
      </w:pPr>
      <w:r>
        <w:t>Para inferencia OCI, validar primero la sesión individual, luego acceso al modelo aprobado y región. No asumir que un archivo OCI genérico es el perfil del participante.</w:t>
      </w:r>
    </w:p>
    <w:p>
      <w:pPr>
        <w:pStyle w:val="ListNumber"/>
      </w:pPr>
      <w:r>
        <w:t>Si la corrección altera IAM, owner schema o infraestructura, pausar y dejar el cambio al facilitador autorizado o administrador del tenant. Registrar el incidente para mejorar prework.</w:t>
      </w:r>
    </w:p>
    <w:p>
      <w:pPr>
        <w:pStyle w:val="Heading1"/>
      </w:pPr>
      <w:r>
        <w:t>7 Interpretación de la telemetría</w:t>
      </w:r>
    </w:p>
    <w:p>
      <w:r>
        <w:t>La comparación final obtiene de cada respuesta OCI los valores reportados por el proveedor: tokens de entrada, salida y totales. También mide la latencia local por solicitud. El runner acepta evidencia solo cuando ambas respuestas están completas, cumplen los mismos criterios técnicos y la variante optimizada tiene menos tokens de entrada.</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val="true"/>
        </w:trPr>
        <w:tc>
          <w:tcPr>
            <w:tcW w:type="dxa" w:w="1757"/>
            <w:shd w:fill="183C7A"/>
            <w:tcMar>
              <w:top w:w="110" w:type="dxa"/>
              <w:start w:w="110" w:type="dxa"/>
              <w:bottom w:w="110" w:type="dxa"/>
              <w:end w:w="110" w:type="dxa"/>
            </w:tcMar>
            <w:vAlign w:val="center"/>
          </w:tcPr>
          <w:p>
            <w:r>
              <w:rPr>
                <w:b/>
                <w:color w:val="FFFFFF"/>
                <w:sz w:val="18"/>
              </w:rPr>
              <w:t>Métrica</w:t>
            </w:r>
          </w:p>
        </w:tc>
        <w:tc>
          <w:tcPr>
            <w:tcW w:type="dxa" w:w="2835"/>
            <w:shd w:fill="183C7A"/>
            <w:tcMar>
              <w:top w:w="110" w:type="dxa"/>
              <w:start w:w="110" w:type="dxa"/>
              <w:bottom w:w="110" w:type="dxa"/>
              <w:end w:w="110" w:type="dxa"/>
            </w:tcMar>
            <w:vAlign w:val="center"/>
          </w:tcPr>
          <w:p>
            <w:r>
              <w:rPr>
                <w:b/>
                <w:color w:val="FFFFFF"/>
                <w:sz w:val="18"/>
              </w:rPr>
              <w:t>Qué significa</w:t>
            </w:r>
          </w:p>
        </w:tc>
        <w:tc>
          <w:tcPr>
            <w:tcW w:type="dxa" w:w="4252"/>
            <w:shd w:fill="183C7A"/>
            <w:tcMar>
              <w:top w:w="110" w:type="dxa"/>
              <w:start w:w="110" w:type="dxa"/>
              <w:bottom w:w="110" w:type="dxa"/>
              <w:end w:w="110" w:type="dxa"/>
            </w:tcMar>
            <w:vAlign w:val="center"/>
          </w:tcPr>
          <w:p>
            <w:r>
              <w:rPr>
                <w:b/>
                <w:color w:val="FFFFFF"/>
                <w:sz w:val="18"/>
              </w:rPr>
              <w:t>Interpretación correcta</w:t>
            </w:r>
          </w:p>
        </w:tc>
      </w:tr>
      <w:tr>
        <w:tc>
          <w:tcPr>
            <w:tcW w:type="dxa" w:w="1757"/>
            <w:tcMar>
              <w:top w:w="110" w:type="dxa"/>
              <w:start w:w="110" w:type="dxa"/>
              <w:bottom w:w="110" w:type="dxa"/>
              <w:end w:w="110" w:type="dxa"/>
            </w:tcMar>
            <w:vAlign w:val="center"/>
          </w:tcPr>
          <w:p>
            <w:r>
              <w:rPr>
                <w:sz w:val="18"/>
              </w:rPr>
              <w:t>Baseline prompt tokens</w:t>
            </w:r>
          </w:p>
        </w:tc>
        <w:tc>
          <w:tcPr>
            <w:tcW w:type="dxa" w:w="2835"/>
            <w:tcMar>
              <w:top w:w="110" w:type="dxa"/>
              <w:start w:w="110" w:type="dxa"/>
              <w:bottom w:w="110" w:type="dxa"/>
              <w:end w:w="110" w:type="dxa"/>
            </w:tcMar>
            <w:vAlign w:val="center"/>
          </w:tcPr>
          <w:p>
            <w:r>
              <w:rPr>
                <w:sz w:val="18"/>
              </w:rPr>
              <w:t>Tokens recibidos por OCI en la solicitud con contexto completo.</w:t>
            </w:r>
          </w:p>
        </w:tc>
        <w:tc>
          <w:tcPr>
            <w:tcW w:type="dxa" w:w="4252"/>
            <w:tcMar>
              <w:top w:w="110" w:type="dxa"/>
              <w:start w:w="110" w:type="dxa"/>
              <w:bottom w:w="110" w:type="dxa"/>
              <w:end w:w="110" w:type="dxa"/>
            </w:tcMar>
            <w:vAlign w:val="center"/>
          </w:tcPr>
          <w:p>
            <w:r>
              <w:rPr>
                <w:sz w:val="18"/>
              </w:rPr>
              <w:t>Tamaño de referencia del diseño que incluye todas las decisiones.</w:t>
            </w:r>
          </w:p>
        </w:tc>
      </w:tr>
      <w:tr>
        <w:tc>
          <w:tcPr>
            <w:tcW w:type="dxa" w:w="1757"/>
            <w:tcMar>
              <w:top w:w="110" w:type="dxa"/>
              <w:start w:w="110" w:type="dxa"/>
              <w:bottom w:w="110" w:type="dxa"/>
              <w:end w:w="110" w:type="dxa"/>
            </w:tcMar>
            <w:vAlign w:val="center"/>
            <w:shd w:fill="F4F7FB"/>
          </w:tcPr>
          <w:p>
            <w:r>
              <w:rPr>
                <w:sz w:val="18"/>
              </w:rPr>
              <w:t>Memory prompt tokens</w:t>
            </w:r>
          </w:p>
        </w:tc>
        <w:tc>
          <w:tcPr>
            <w:tcW w:type="dxa" w:w="2835"/>
            <w:tcMar>
              <w:top w:w="110" w:type="dxa"/>
              <w:start w:w="110" w:type="dxa"/>
              <w:bottom w:w="110" w:type="dxa"/>
              <w:end w:w="110" w:type="dxa"/>
            </w:tcMar>
            <w:vAlign w:val="center"/>
            <w:shd w:fill="F4F7FB"/>
          </w:tcPr>
          <w:p>
            <w:r>
              <w:rPr>
                <w:sz w:val="18"/>
              </w:rPr>
              <w:t>Tokens recibidos cuando se envía solo la decisión recuperada.</w:t>
            </w:r>
          </w:p>
        </w:tc>
        <w:tc>
          <w:tcPr>
            <w:tcW w:type="dxa" w:w="4252"/>
            <w:tcMar>
              <w:top w:w="110" w:type="dxa"/>
              <w:start w:w="110" w:type="dxa"/>
              <w:bottom w:w="110" w:type="dxa"/>
              <w:end w:w="110" w:type="dxa"/>
            </w:tcMar>
            <w:vAlign w:val="center"/>
            <w:shd w:fill="F4F7FB"/>
          </w:tcPr>
          <w:p>
            <w:r>
              <w:rPr>
                <w:sz w:val="18"/>
              </w:rPr>
              <w:t>Evidencia de menor contexto suministrado.</w:t>
            </w:r>
          </w:p>
        </w:tc>
      </w:tr>
      <w:tr>
        <w:tc>
          <w:tcPr>
            <w:tcW w:type="dxa" w:w="1757"/>
            <w:tcMar>
              <w:top w:w="110" w:type="dxa"/>
              <w:start w:w="110" w:type="dxa"/>
              <w:bottom w:w="110" w:type="dxa"/>
              <w:end w:w="110" w:type="dxa"/>
            </w:tcMar>
            <w:vAlign w:val="center"/>
          </w:tcPr>
          <w:p>
            <w:r>
              <w:rPr>
                <w:sz w:val="18"/>
              </w:rPr>
              <w:t>Input token reduction</w:t>
            </w:r>
          </w:p>
        </w:tc>
        <w:tc>
          <w:tcPr>
            <w:tcW w:type="dxa" w:w="2835"/>
            <w:tcMar>
              <w:top w:w="110" w:type="dxa"/>
              <w:start w:w="110" w:type="dxa"/>
              <w:bottom w:w="110" w:type="dxa"/>
              <w:end w:w="110" w:type="dxa"/>
            </w:tcMar>
            <w:vAlign w:val="center"/>
          </w:tcPr>
          <w:p>
            <w:r>
              <w:rPr>
                <w:sz w:val="18"/>
              </w:rPr>
              <w:t>Tokens baseline menos tokens de memoria.</w:t>
            </w:r>
          </w:p>
        </w:tc>
        <w:tc>
          <w:tcPr>
            <w:tcW w:type="dxa" w:w="4252"/>
            <w:tcMar>
              <w:top w:w="110" w:type="dxa"/>
              <w:start w:w="110" w:type="dxa"/>
              <w:bottom w:w="110" w:type="dxa"/>
              <w:end w:w="110" w:type="dxa"/>
            </w:tcMar>
            <w:vAlign w:val="center"/>
          </w:tcPr>
          <w:p>
            <w:r>
              <w:rPr>
                <w:sz w:val="18"/>
              </w:rPr>
              <w:t>Reducción medida para este par de prompts controlado.</w:t>
            </w:r>
          </w:p>
        </w:tc>
      </w:tr>
      <w:tr>
        <w:tc>
          <w:tcPr>
            <w:tcW w:type="dxa" w:w="1757"/>
            <w:tcMar>
              <w:top w:w="110" w:type="dxa"/>
              <w:start w:w="110" w:type="dxa"/>
              <w:bottom w:w="110" w:type="dxa"/>
              <w:end w:w="110" w:type="dxa"/>
            </w:tcMar>
            <w:vAlign w:val="center"/>
            <w:shd w:fill="F4F7FB"/>
          </w:tcPr>
          <w:p>
            <w:r>
              <w:rPr>
                <w:sz w:val="18"/>
              </w:rPr>
              <w:t>Porcentaje de reducción</w:t>
            </w:r>
          </w:p>
        </w:tc>
        <w:tc>
          <w:tcPr>
            <w:tcW w:type="dxa" w:w="2835"/>
            <w:tcMar>
              <w:top w:w="110" w:type="dxa"/>
              <w:start w:w="110" w:type="dxa"/>
              <w:bottom w:w="110" w:type="dxa"/>
              <w:end w:w="110" w:type="dxa"/>
            </w:tcMar>
            <w:vAlign w:val="center"/>
            <w:shd w:fill="F4F7FB"/>
          </w:tcPr>
          <w:p>
            <w:r>
              <w:rPr>
                <w:sz w:val="18"/>
              </w:rPr>
              <w:t>Reducción dividida por tokens baseline.</w:t>
            </w:r>
          </w:p>
        </w:tc>
        <w:tc>
          <w:tcPr>
            <w:tcW w:type="dxa" w:w="4252"/>
            <w:tcMar>
              <w:top w:w="110" w:type="dxa"/>
              <w:start w:w="110" w:type="dxa"/>
              <w:bottom w:w="110" w:type="dxa"/>
              <w:end w:w="110" w:type="dxa"/>
            </w:tcMar>
            <w:vAlign w:val="center"/>
            <w:shd w:fill="F4F7FB"/>
          </w:tcPr>
          <w:p>
            <w:r>
              <w:rPr>
                <w:sz w:val="18"/>
              </w:rPr>
              <w:t>Útil para comparar, pero no es una tasa universal.</w:t>
            </w:r>
          </w:p>
        </w:tc>
      </w:tr>
      <w:tr>
        <w:tc>
          <w:tcPr>
            <w:tcW w:type="dxa" w:w="1757"/>
            <w:tcMar>
              <w:top w:w="110" w:type="dxa"/>
              <w:start w:w="110" w:type="dxa"/>
              <w:bottom w:w="110" w:type="dxa"/>
              <w:end w:w="110" w:type="dxa"/>
            </w:tcMar>
            <w:vAlign w:val="center"/>
          </w:tcPr>
          <w:p>
            <w:r>
              <w:rPr>
                <w:sz w:val="18"/>
              </w:rPr>
              <w:t>Completion tokens</w:t>
            </w:r>
          </w:p>
        </w:tc>
        <w:tc>
          <w:tcPr>
            <w:tcW w:type="dxa" w:w="2835"/>
            <w:tcMar>
              <w:top w:w="110" w:type="dxa"/>
              <w:start w:w="110" w:type="dxa"/>
              <w:bottom w:w="110" w:type="dxa"/>
              <w:end w:w="110" w:type="dxa"/>
            </w:tcMar>
            <w:vAlign w:val="center"/>
          </w:tcPr>
          <w:p>
            <w:r>
              <w:rPr>
                <w:sz w:val="18"/>
              </w:rPr>
              <w:t>Tokens generados por el modelo.</w:t>
            </w:r>
          </w:p>
        </w:tc>
        <w:tc>
          <w:tcPr>
            <w:tcW w:type="dxa" w:w="4252"/>
            <w:tcMar>
              <w:top w:w="110" w:type="dxa"/>
              <w:start w:w="110" w:type="dxa"/>
              <w:bottom w:w="110" w:type="dxa"/>
              <w:end w:w="110" w:type="dxa"/>
            </w:tcMar>
            <w:vAlign w:val="center"/>
          </w:tcPr>
          <w:p>
            <w:r>
              <w:rPr>
                <w:sz w:val="18"/>
              </w:rPr>
              <w:t>Se interpretan aparte; menos entrada no obliga menos salida.</w:t>
            </w:r>
          </w:p>
        </w:tc>
      </w:tr>
      <w:tr>
        <w:tc>
          <w:tcPr>
            <w:tcW w:type="dxa" w:w="1757"/>
            <w:tcMar>
              <w:top w:w="110" w:type="dxa"/>
              <w:start w:w="110" w:type="dxa"/>
              <w:bottom w:w="110" w:type="dxa"/>
              <w:end w:w="110" w:type="dxa"/>
            </w:tcMar>
            <w:vAlign w:val="center"/>
            <w:shd w:fill="F4F7FB"/>
          </w:tcPr>
          <w:p>
            <w:r>
              <w:rPr>
                <w:sz w:val="18"/>
              </w:rPr>
              <w:t>Latencia</w:t>
            </w:r>
          </w:p>
        </w:tc>
        <w:tc>
          <w:tcPr>
            <w:tcW w:type="dxa" w:w="2835"/>
            <w:tcMar>
              <w:top w:w="110" w:type="dxa"/>
              <w:start w:w="110" w:type="dxa"/>
              <w:bottom w:w="110" w:type="dxa"/>
              <w:end w:w="110" w:type="dxa"/>
            </w:tcMar>
            <w:vAlign w:val="center"/>
            <w:shd w:fill="F4F7FB"/>
          </w:tcPr>
          <w:p>
            <w:r>
              <w:rPr>
                <w:sz w:val="18"/>
              </w:rPr>
              <w:t>Tiempo transcurrido localmente por solicitud.</w:t>
            </w:r>
          </w:p>
        </w:tc>
        <w:tc>
          <w:tcPr>
            <w:tcW w:type="dxa" w:w="4252"/>
            <w:tcMar>
              <w:top w:w="110" w:type="dxa"/>
              <w:start w:w="110" w:type="dxa"/>
              <w:bottom w:w="110" w:type="dxa"/>
              <w:end w:w="110" w:type="dxa"/>
            </w:tcMar>
            <w:vAlign w:val="center"/>
            <w:shd w:fill="F4F7FB"/>
          </w:tcPr>
          <w:p>
            <w:r>
              <w:rPr>
                <w:sz w:val="18"/>
              </w:rPr>
              <w:t>Observación puntual, no prueba de menor latencia end-to-end.</w:t>
            </w:r>
          </w:p>
        </w:tc>
      </w:tr>
      <w:tr>
        <w:tc>
          <w:tcPr>
            <w:tcW w:type="dxa" w:w="1757"/>
            <w:tcMar>
              <w:top w:w="110" w:type="dxa"/>
              <w:start w:w="110" w:type="dxa"/>
              <w:bottom w:w="110" w:type="dxa"/>
              <w:end w:w="110" w:type="dxa"/>
            </w:tcMar>
            <w:vAlign w:val="center"/>
          </w:tcPr>
          <w:p>
            <w:r>
              <w:rPr>
                <w:sz w:val="18"/>
              </w:rPr>
              <w:t>Quality pass</w:t>
            </w:r>
          </w:p>
        </w:tc>
        <w:tc>
          <w:tcPr>
            <w:tcW w:type="dxa" w:w="2835"/>
            <w:tcMar>
              <w:top w:w="110" w:type="dxa"/>
              <w:start w:w="110" w:type="dxa"/>
              <w:bottom w:w="110" w:type="dxa"/>
              <w:end w:w="110" w:type="dxa"/>
            </w:tcMar>
            <w:vAlign w:val="center"/>
          </w:tcPr>
          <w:p>
            <w:r>
              <w:rPr>
                <w:sz w:val="18"/>
              </w:rPr>
              <w:t>Ambas respuestas incluyen los términos técnicos y no están truncadas.</w:t>
            </w:r>
          </w:p>
        </w:tc>
        <w:tc>
          <w:tcPr>
            <w:tcW w:type="dxa" w:w="4252"/>
            <w:tcMar>
              <w:top w:w="110" w:type="dxa"/>
              <w:start w:w="110" w:type="dxa"/>
              <w:bottom w:w="110" w:type="dxa"/>
              <w:end w:w="110" w:type="dxa"/>
            </w:tcMar>
            <w:vAlign w:val="center"/>
          </w:tcPr>
          <w:p>
            <w:r>
              <w:rPr>
                <w:sz w:val="18"/>
              </w:rPr>
              <w:t>Evita declarar éxito con una respuesta corta pero insuficiente.</w:t>
            </w:r>
          </w:p>
        </w:tc>
      </w:tr>
    </w:tbl>
    <w:p/>
    <w:p>
      <w:pPr>
        <w:pStyle w:val="Heading2"/>
      </w:pPr>
      <w:r>
        <w:t>7.1 Narrativa de ejemplo para el dashboard</w:t>
      </w:r>
    </w:p>
    <w:p>
      <w:r>
        <w:t>Use siempre los valores que muestra el dashboard del participante. En el ensayo validado, baseline envió 113 tokens de entrada y la variante con memoria envió 86. La diferencia fue 27 tokens, equivalente a aproximadamente 23.9 por ciento. Ambas respuestas aprobaron calidad. La conclusión válida es que la recuperación selectiva redujo el contexto enviado para esa pregunta sin perder el comportamiento requerido.</w:t>
      </w:r>
    </w:p>
    <w:p>
      <w:r>
        <w:rPr>
          <w:b/>
        </w:rPr>
        <w:t xml:space="preserve">Límite importante. </w:t>
      </w:r>
      <w:r>
        <w:t>Esto no prueba reducción del costo total de la solución. En producción también existen costos de almacenamiento, recuperación, base de datos, red y operación. Prueba algo más preciso: los tokens de entrada reportados por OCI disminuyeron en una comparación controlada.</w:t>
      </w:r>
    </w:p>
    <w:p>
      <w:pPr>
        <w:pStyle w:val="Heading2"/>
      </w:pPr>
      <w:r>
        <w:t>7.2 Preguntas para la discusión</w:t>
      </w:r>
    </w:p>
    <w:p>
      <w:pPr>
        <w:pStyle w:val="ListBullet"/>
      </w:pPr>
      <w:r>
        <w:t>¿Qué decisión se recuperó y cuáles decisiones se excluyeron del prompt optimizado?</w:t>
      </w:r>
    </w:p>
    <w:p>
      <w:pPr>
        <w:pStyle w:val="ListBullet"/>
      </w:pPr>
      <w:r>
        <w:t>¿Qué demuestra el intento de acceso al scope de control? ¿Qué no demuestra sobre un modelo completo de autorización?</w:t>
      </w:r>
    </w:p>
    <w:p>
      <w:pPr>
        <w:pStyle w:val="ListBullet"/>
      </w:pPr>
      <w:r>
        <w:t>¿Por qué la validación de calidad debe preceder cualquier afirmación de eficiencia?</w:t>
      </w:r>
    </w:p>
    <w:p>
      <w:pPr>
        <w:pStyle w:val="ListBullet"/>
      </w:pPr>
      <w:r>
        <w:t>¿En qué situación la recuperación selectiva podría aumentar la latencia end-to-end aunque reduzca tokens?</w:t>
      </w:r>
    </w:p>
    <w:p>
      <w:pPr>
        <w:pStyle w:val="ListBullet"/>
      </w:pPr>
      <w:r>
        <w:t>¿Qué telemetría agregarías en producción: request IDs, latencia de recuperación, cantidad de resultados, errores, uso de modelo, métricas de ADB y eventos de auditoría?</w:t>
      </w:r>
    </w:p>
    <w:p>
      <w:pPr>
        <w:pStyle w:val="Heading1"/>
      </w:pPr>
      <w:r>
        <w:t>8 Cierre arquitectónico</w:t>
      </w:r>
    </w:p>
    <w:p>
      <w:r>
        <w:t>El cierre debe ubicar el patrón del workshop dentro de una arquitectura de agentes de producción. El memory store es un componente de conocimiento gobernado. La aplicación o capa de orquestación lo consulta antes de la inferencia; el modelo recibe un contexto armado de manera deliberada y puede producir una respuesta o proponer una acción posterior.</w:t>
      </w:r>
    </w:p>
    <w:p>
      <w:pPr>
        <w:spacing w:before="60" w:after="140"/>
        <w:ind w:left="312" w:right="312"/>
      </w:pPr>
      <w:r>
        <w:rPr>
          <w:rFonts w:ascii="Consolas" w:hAnsi="Consolas"/>
          <w:sz w:val="17"/>
        </w:rPr>
        <w:t>Pregunta de ingeniería</w:t>
        <w:br/>
      </w:r>
      <w:r>
        <w:rPr>
          <w:rFonts w:ascii="Consolas" w:hAnsi="Consolas"/>
          <w:sz w:val="17"/>
        </w:rPr>
        <w:t xml:space="preserve">    -&gt; recuperación con alcance en Oracle AI Agent Memory sobre ADB</w:t>
        <w:br/>
      </w:r>
      <w:r>
        <w:rPr>
          <w:rFonts w:ascii="Consolas" w:hAnsi="Consolas"/>
          <w:sz w:val="17"/>
        </w:rPr>
        <w:t xml:space="preserve">    -&gt; armado de contexto compacto</w:t>
        <w:br/>
      </w:r>
      <w:r>
        <w:rPr>
          <w:rFonts w:ascii="Consolas" w:hAnsi="Consolas"/>
          <w:sz w:val="17"/>
        </w:rPr>
        <w:t xml:space="preserve">    -&gt; OCI Generative AI Inference</w:t>
        <w:br/>
      </w:r>
      <w:r>
        <w:rPr>
          <w:rFonts w:ascii="Consolas" w:hAnsi="Consolas"/>
          <w:sz w:val="17"/>
        </w:rPr>
        <w:t xml:space="preserve">    -&gt; respuesta validada o acción downstream</w:t>
        <w:br/>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rPr>
          <w:tblHeader w:val="true"/>
        </w:trPr>
        <w:tc>
          <w:tcPr>
            <w:tcW w:type="dxa" w:w="2041"/>
            <w:shd w:fill="183C7A"/>
            <w:tcMar>
              <w:top w:w="110" w:type="dxa"/>
              <w:start w:w="110" w:type="dxa"/>
              <w:bottom w:w="110" w:type="dxa"/>
              <w:end w:w="110" w:type="dxa"/>
            </w:tcMar>
            <w:vAlign w:val="center"/>
          </w:tcPr>
          <w:p>
            <w:r>
              <w:rPr>
                <w:b/>
                <w:color w:val="FFFFFF"/>
                <w:sz w:val="18"/>
              </w:rPr>
              <w:t>Aspecto</w:t>
            </w:r>
          </w:p>
        </w:tc>
        <w:tc>
          <w:tcPr>
            <w:tcW w:type="dxa" w:w="3345"/>
            <w:shd w:fill="183C7A"/>
            <w:tcMar>
              <w:top w:w="110" w:type="dxa"/>
              <w:start w:w="110" w:type="dxa"/>
              <w:bottom w:w="110" w:type="dxa"/>
              <w:end w:w="110" w:type="dxa"/>
            </w:tcMar>
            <w:vAlign w:val="center"/>
          </w:tcPr>
          <w:p>
            <w:r>
              <w:rPr>
                <w:b/>
                <w:color w:val="FFFFFF"/>
                <w:sz w:val="18"/>
              </w:rPr>
              <w:t>Demostración del workshop</w:t>
            </w:r>
          </w:p>
        </w:tc>
        <w:tc>
          <w:tcPr>
            <w:tcW w:type="dxa" w:w="3458"/>
            <w:shd w:fill="183C7A"/>
            <w:tcMar>
              <w:top w:w="110" w:type="dxa"/>
              <w:start w:w="110" w:type="dxa"/>
              <w:bottom w:w="110" w:type="dxa"/>
              <w:end w:w="110" w:type="dxa"/>
            </w:tcMar>
            <w:vAlign w:val="center"/>
          </w:tcPr>
          <w:p>
            <w:r>
              <w:rPr>
                <w:b/>
                <w:color w:val="FFFFFF"/>
                <w:sz w:val="18"/>
              </w:rPr>
              <w:t>Extensión de producción</w:t>
            </w:r>
          </w:p>
        </w:tc>
      </w:tr>
      <w:tr>
        <w:tc>
          <w:tcPr>
            <w:tcW w:type="dxa" w:w="2041"/>
            <w:tcMar>
              <w:top w:w="110" w:type="dxa"/>
              <w:start w:w="110" w:type="dxa"/>
              <w:bottom w:w="110" w:type="dxa"/>
              <w:end w:w="110" w:type="dxa"/>
            </w:tcMar>
            <w:vAlign w:val="center"/>
          </w:tcPr>
          <w:p>
            <w:r>
              <w:rPr>
                <w:sz w:val="18"/>
              </w:rPr>
              <w:t>Gobierno de memoria</w:t>
            </w:r>
          </w:p>
        </w:tc>
        <w:tc>
          <w:tcPr>
            <w:tcW w:type="dxa" w:w="3345"/>
            <w:tcMar>
              <w:top w:w="110" w:type="dxa"/>
              <w:start w:w="110" w:type="dxa"/>
              <w:bottom w:w="110" w:type="dxa"/>
              <w:end w:w="110" w:type="dxa"/>
            </w:tcMar>
            <w:vAlign w:val="center"/>
          </w:tcPr>
          <w:p>
            <w:r>
              <w:rPr>
                <w:sz w:val="18"/>
              </w:rPr>
              <w:t>Distingue scopes individual, compartido y de control.</w:t>
            </w:r>
          </w:p>
        </w:tc>
        <w:tc>
          <w:tcPr>
            <w:tcW w:type="dxa" w:w="3458"/>
            <w:tcMar>
              <w:top w:w="110" w:type="dxa"/>
              <w:start w:w="110" w:type="dxa"/>
              <w:bottom w:w="110" w:type="dxa"/>
              <w:end w:w="110" w:type="dxa"/>
            </w:tcMar>
            <w:vAlign w:val="center"/>
          </w:tcPr>
          <w:p>
            <w:r>
              <w:rPr>
                <w:sz w:val="18"/>
              </w:rPr>
              <w:t>Definir ownership, retención, clasificación y autorización por categoría.</w:t>
            </w:r>
          </w:p>
        </w:tc>
      </w:tr>
      <w:tr>
        <w:tc>
          <w:tcPr>
            <w:tcW w:type="dxa" w:w="2041"/>
            <w:tcMar>
              <w:top w:w="110" w:type="dxa"/>
              <w:start w:w="110" w:type="dxa"/>
              <w:bottom w:w="110" w:type="dxa"/>
              <w:end w:w="110" w:type="dxa"/>
            </w:tcMar>
            <w:vAlign w:val="center"/>
            <w:shd w:fill="F4F7FB"/>
          </w:tcPr>
          <w:p>
            <w:r>
              <w:rPr>
                <w:sz w:val="18"/>
              </w:rPr>
              <w:t>Recuperación</w:t>
            </w:r>
          </w:p>
        </w:tc>
        <w:tc>
          <w:tcPr>
            <w:tcW w:type="dxa" w:w="3345"/>
            <w:tcMar>
              <w:top w:w="110" w:type="dxa"/>
              <w:start w:w="110" w:type="dxa"/>
              <w:bottom w:w="110" w:type="dxa"/>
              <w:end w:w="110" w:type="dxa"/>
            </w:tcMar>
            <w:vAlign w:val="center"/>
            <w:shd w:fill="F4F7FB"/>
          </w:tcPr>
          <w:p>
            <w:r>
              <w:rPr>
                <w:sz w:val="18"/>
              </w:rPr>
              <w:t>Keyword obtiene una decisión procedural relevante.</w:t>
            </w:r>
          </w:p>
        </w:tc>
        <w:tc>
          <w:tcPr>
            <w:tcW w:type="dxa" w:w="3458"/>
            <w:tcMar>
              <w:top w:w="110" w:type="dxa"/>
              <w:start w:w="110" w:type="dxa"/>
              <w:bottom w:w="110" w:type="dxa"/>
              <w:end w:w="110" w:type="dxa"/>
            </w:tcMar>
            <w:vAlign w:val="center"/>
            <w:shd w:fill="F4F7FB"/>
          </w:tcPr>
          <w:p>
            <w:r>
              <w:rPr>
                <w:sz w:val="18"/>
              </w:rPr>
              <w:t>Aplicar filtros de metadata, búsqueda vectorial o híbrida si el corpus lo requiere.</w:t>
            </w:r>
          </w:p>
        </w:tc>
      </w:tr>
      <w:tr>
        <w:tc>
          <w:tcPr>
            <w:tcW w:type="dxa" w:w="2041"/>
            <w:tcMar>
              <w:top w:w="110" w:type="dxa"/>
              <w:start w:w="110" w:type="dxa"/>
              <w:bottom w:w="110" w:type="dxa"/>
              <w:end w:w="110" w:type="dxa"/>
            </w:tcMar>
            <w:vAlign w:val="center"/>
          </w:tcPr>
          <w:p>
            <w:r>
              <w:rPr>
                <w:sz w:val="18"/>
              </w:rPr>
              <w:t>Inferencia</w:t>
            </w:r>
          </w:p>
        </w:tc>
        <w:tc>
          <w:tcPr>
            <w:tcW w:type="dxa" w:w="3345"/>
            <w:tcMar>
              <w:top w:w="110" w:type="dxa"/>
              <w:start w:w="110" w:type="dxa"/>
              <w:bottom w:w="110" w:type="dxa"/>
              <w:end w:w="110" w:type="dxa"/>
            </w:tcMar>
            <w:vAlign w:val="center"/>
          </w:tcPr>
          <w:p>
            <w:r>
              <w:rPr>
                <w:sz w:val="18"/>
              </w:rPr>
              <w:t>Un modelo aprobado, parámetros fijos y dos solicitudes comparables.</w:t>
            </w:r>
          </w:p>
        </w:tc>
        <w:tc>
          <w:tcPr>
            <w:tcW w:type="dxa" w:w="3458"/>
            <w:tcMar>
              <w:top w:w="110" w:type="dxa"/>
              <w:start w:w="110" w:type="dxa"/>
              <w:bottom w:w="110" w:type="dxa"/>
              <w:end w:w="110" w:type="dxa"/>
            </w:tcMar>
            <w:vAlign w:val="center"/>
          </w:tcPr>
          <w:p>
            <w:r>
              <w:rPr>
                <w:sz w:val="18"/>
              </w:rPr>
              <w:t>Model routing, evaluaciones, límites, control de presupuesto y guardrails.</w:t>
            </w:r>
          </w:p>
        </w:tc>
      </w:tr>
      <w:tr>
        <w:tc>
          <w:tcPr>
            <w:tcW w:type="dxa" w:w="2041"/>
            <w:tcMar>
              <w:top w:w="110" w:type="dxa"/>
              <w:start w:w="110" w:type="dxa"/>
              <w:bottom w:w="110" w:type="dxa"/>
              <w:end w:w="110" w:type="dxa"/>
            </w:tcMar>
            <w:vAlign w:val="center"/>
            <w:shd w:fill="F4F7FB"/>
          </w:tcPr>
          <w:p>
            <w:r>
              <w:rPr>
                <w:sz w:val="18"/>
              </w:rPr>
              <w:t>Observabilidad</w:t>
            </w:r>
          </w:p>
        </w:tc>
        <w:tc>
          <w:tcPr>
            <w:tcW w:type="dxa" w:w="3345"/>
            <w:tcMar>
              <w:top w:w="110" w:type="dxa"/>
              <w:start w:w="110" w:type="dxa"/>
              <w:bottom w:w="110" w:type="dxa"/>
              <w:end w:w="110" w:type="dxa"/>
            </w:tcMar>
            <w:vAlign w:val="center"/>
            <w:shd w:fill="F4F7FB"/>
          </w:tcPr>
          <w:p>
            <w:r>
              <w:rPr>
                <w:sz w:val="18"/>
              </w:rPr>
              <w:t>JSON local y dashboard por participante.</w:t>
            </w:r>
          </w:p>
        </w:tc>
        <w:tc>
          <w:tcPr>
            <w:tcW w:type="dxa" w:w="3458"/>
            <w:tcMar>
              <w:top w:w="110" w:type="dxa"/>
              <w:start w:w="110" w:type="dxa"/>
              <w:bottom w:w="110" w:type="dxa"/>
              <w:end w:w="110" w:type="dxa"/>
            </w:tcMar>
            <w:vAlign w:val="center"/>
            <w:shd w:fill="F4F7FB"/>
          </w:tcPr>
          <w:p>
            <w:r>
              <w:rPr>
                <w:sz w:val="18"/>
              </w:rPr>
              <w:t>OCI Logging, Monitoring, Audit, métricas, trazas y retención gobernada.</w:t>
            </w:r>
          </w:p>
        </w:tc>
      </w:tr>
      <w:tr>
        <w:tc>
          <w:tcPr>
            <w:tcW w:type="dxa" w:w="2041"/>
            <w:tcMar>
              <w:top w:w="110" w:type="dxa"/>
              <w:start w:w="110" w:type="dxa"/>
              <w:bottom w:w="110" w:type="dxa"/>
              <w:end w:w="110" w:type="dxa"/>
            </w:tcMar>
            <w:vAlign w:val="center"/>
          </w:tcPr>
          <w:p>
            <w:r>
              <w:rPr>
                <w:sz w:val="18"/>
              </w:rPr>
              <w:t>Acciones</w:t>
            </w:r>
          </w:p>
        </w:tc>
        <w:tc>
          <w:tcPr>
            <w:tcW w:type="dxa" w:w="3345"/>
            <w:tcMar>
              <w:top w:w="110" w:type="dxa"/>
              <w:start w:w="110" w:type="dxa"/>
              <w:bottom w:w="110" w:type="dxa"/>
              <w:end w:w="110" w:type="dxa"/>
            </w:tcMar>
            <w:vAlign w:val="center"/>
          </w:tcPr>
          <w:p>
            <w:r>
              <w:rPr>
                <w:sz w:val="18"/>
              </w:rPr>
              <w:t>El modelo no ejecuta herramientas.</w:t>
            </w:r>
          </w:p>
        </w:tc>
        <w:tc>
          <w:tcPr>
            <w:tcW w:type="dxa" w:w="3458"/>
            <w:tcMar>
              <w:top w:w="110" w:type="dxa"/>
              <w:start w:w="110" w:type="dxa"/>
              <w:bottom w:w="110" w:type="dxa"/>
              <w:end w:w="110" w:type="dxa"/>
            </w:tcMar>
            <w:vAlign w:val="center"/>
          </w:tcPr>
          <w:p>
            <w:r>
              <w:rPr>
                <w:sz w:val="18"/>
              </w:rPr>
              <w:t>Introducir tools mínimos con confirmación, idempotencia, políticas y auditoría.</w:t>
            </w:r>
          </w:p>
        </w:tc>
      </w:tr>
    </w:tbl>
    <w:p/>
    <w:p>
      <w:pPr>
        <w:pStyle w:val="Heading2"/>
      </w:pPr>
      <w:r>
        <w:t>8.1 Qué es y qué no es este workshop</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val="true"/>
        </w:trPr>
        <w:tc>
          <w:tcPr>
            <w:tcW w:type="dxa" w:w="4479"/>
            <w:shd w:fill="183C7A"/>
            <w:tcMar>
              <w:top w:w="110" w:type="dxa"/>
              <w:start w:w="110" w:type="dxa"/>
              <w:bottom w:w="110" w:type="dxa"/>
              <w:end w:w="110" w:type="dxa"/>
            </w:tcMar>
            <w:vAlign w:val="center"/>
          </w:tcPr>
          <w:p>
            <w:r>
              <w:rPr>
                <w:b/>
                <w:color w:val="FFFFFF"/>
                <w:sz w:val="18"/>
              </w:rPr>
              <w:t>Es</w:t>
            </w:r>
          </w:p>
        </w:tc>
        <w:tc>
          <w:tcPr>
            <w:tcW w:type="dxa" w:w="4365"/>
            <w:shd w:fill="183C7A"/>
            <w:tcMar>
              <w:top w:w="110" w:type="dxa"/>
              <w:start w:w="110" w:type="dxa"/>
              <w:bottom w:w="110" w:type="dxa"/>
              <w:end w:w="110" w:type="dxa"/>
            </w:tcMar>
            <w:vAlign w:val="center"/>
          </w:tcPr>
          <w:p>
            <w:r>
              <w:rPr>
                <w:b/>
                <w:color w:val="FFFFFF"/>
                <w:sz w:val="18"/>
              </w:rPr>
              <w:t>No es</w:t>
            </w:r>
          </w:p>
        </w:tc>
      </w:tr>
      <w:tr>
        <w:tc>
          <w:tcPr>
            <w:tcW w:type="dxa" w:w="4479"/>
            <w:tcMar>
              <w:top w:w="110" w:type="dxa"/>
              <w:start w:w="110" w:type="dxa"/>
              <w:bottom w:w="110" w:type="dxa"/>
              <w:end w:w="110" w:type="dxa"/>
            </w:tcMar>
            <w:vAlign w:val="center"/>
          </w:tcPr>
          <w:p>
            <w:r>
              <w:rPr>
                <w:sz w:val="18"/>
              </w:rPr>
              <w:t>Una demostración real de Agent Memory en Autonomous Database.</w:t>
            </w:r>
          </w:p>
        </w:tc>
        <w:tc>
          <w:tcPr>
            <w:tcW w:type="dxa" w:w="4365"/>
            <w:tcMar>
              <w:top w:w="110" w:type="dxa"/>
              <w:start w:w="110" w:type="dxa"/>
              <w:bottom w:w="110" w:type="dxa"/>
              <w:end w:w="110" w:type="dxa"/>
            </w:tcMar>
            <w:vAlign w:val="center"/>
          </w:tcPr>
          <w:p>
            <w:r>
              <w:rPr>
                <w:sz w:val="18"/>
              </w:rPr>
              <w:t>Una simulación o mock en memoria.</w:t>
            </w:r>
          </w:p>
        </w:tc>
      </w:tr>
      <w:tr>
        <w:tc>
          <w:tcPr>
            <w:tcW w:type="dxa" w:w="4479"/>
            <w:tcMar>
              <w:top w:w="110" w:type="dxa"/>
              <w:start w:w="110" w:type="dxa"/>
              <w:bottom w:w="110" w:type="dxa"/>
              <w:end w:w="110" w:type="dxa"/>
            </w:tcMar>
            <w:vAlign w:val="center"/>
            <w:shd w:fill="F4F7FB"/>
          </w:tcPr>
          <w:p>
            <w:r>
              <w:rPr>
                <w:sz w:val="18"/>
              </w:rPr>
              <w:t>Una comparación medida de dos solicitudes con telemetría del proveedor OCI.</w:t>
            </w:r>
          </w:p>
        </w:tc>
        <w:tc>
          <w:tcPr>
            <w:tcW w:type="dxa" w:w="4365"/>
            <w:tcMar>
              <w:top w:w="110" w:type="dxa"/>
              <w:start w:w="110" w:type="dxa"/>
              <w:bottom w:w="110" w:type="dxa"/>
              <w:end w:w="110" w:type="dxa"/>
            </w:tcMar>
            <w:vAlign w:val="center"/>
            <w:shd w:fill="F4F7FB"/>
          </w:tcPr>
          <w:p>
            <w:r>
              <w:rPr>
                <w:sz w:val="18"/>
              </w:rPr>
              <w:t>Un benchmark que prueba costo o latencia global.</w:t>
            </w:r>
          </w:p>
        </w:tc>
      </w:tr>
      <w:tr>
        <w:tc>
          <w:tcPr>
            <w:tcW w:type="dxa" w:w="4479"/>
            <w:tcMar>
              <w:top w:w="110" w:type="dxa"/>
              <w:start w:w="110" w:type="dxa"/>
              <w:bottom w:w="110" w:type="dxa"/>
              <w:end w:w="110" w:type="dxa"/>
            </w:tcMar>
            <w:vAlign w:val="center"/>
          </w:tcPr>
          <w:p>
            <w:r>
              <w:rPr>
                <w:sz w:val="18"/>
              </w:rPr>
              <w:t>Una base para arquitecturas de agentes con memoria gobernada.</w:t>
            </w:r>
          </w:p>
        </w:tc>
        <w:tc>
          <w:tcPr>
            <w:tcW w:type="dxa" w:w="4365"/>
            <w:tcMar>
              <w:top w:w="110" w:type="dxa"/>
              <w:start w:w="110" w:type="dxa"/>
              <w:bottom w:w="110" w:type="dxa"/>
              <w:end w:w="110" w:type="dxa"/>
            </w:tcMar>
            <w:vAlign w:val="center"/>
          </w:tcPr>
          <w:p>
            <w:r>
              <w:rPr>
                <w:sz w:val="18"/>
              </w:rPr>
              <w:t>Una implementación completa de agente autónomo con tools y planificación.</w:t>
            </w:r>
          </w:p>
        </w:tc>
      </w:tr>
      <w:tr>
        <w:tc>
          <w:tcPr>
            <w:tcW w:type="dxa" w:w="4479"/>
            <w:tcMar>
              <w:top w:w="110" w:type="dxa"/>
              <w:start w:w="110" w:type="dxa"/>
              <w:bottom w:w="110" w:type="dxa"/>
              <w:end w:w="110" w:type="dxa"/>
            </w:tcMar>
            <w:vAlign w:val="center"/>
            <w:shd w:fill="F4F7FB"/>
          </w:tcPr>
          <w:p>
            <w:r>
              <w:rPr>
                <w:sz w:val="18"/>
              </w:rPr>
              <w:t>Un patrón de mínimo privilegio con owner schema y usuario de aplicación.</w:t>
            </w:r>
          </w:p>
        </w:tc>
        <w:tc>
          <w:tcPr>
            <w:tcW w:type="dxa" w:w="4365"/>
            <w:tcMar>
              <w:top w:w="110" w:type="dxa"/>
              <w:start w:w="110" w:type="dxa"/>
              <w:bottom w:w="110" w:type="dxa"/>
              <w:end w:w="110" w:type="dxa"/>
            </w:tcMar>
            <w:vAlign w:val="center"/>
            <w:shd w:fill="F4F7FB"/>
          </w:tcPr>
          <w:p>
            <w:r>
              <w:rPr>
                <w:sz w:val="18"/>
              </w:rPr>
              <w:t>Una certificación de seguridad productiva ni sustituto de gobierno del tenant.</w:t>
            </w:r>
          </w:p>
        </w:tc>
      </w:tr>
    </w:tbl>
    <w:p/>
    <w:p>
      <w:pPr>
        <w:pStyle w:val="Heading1"/>
      </w:pPr>
      <w:r>
        <w:t>9 Guion de cierre para el facilitador</w:t>
      </w:r>
    </w:p>
    <w:p>
      <w:r>
        <w:t>Hoy verificamos una decisión de diseño concreta: en vez de reenviar todas las reglas históricas al modelo, la aplicación puede persistir memoria procedural gobernada en Autonomous Database, recuperar solo lo que necesita la pregunta y armar un contexto más pequeño. Confirmamos que el alcance del participante no accedió a la decisión de control y utilizamos telemetría OCI para medir una reducción de tokens de entrada sin perder los criterios de respuesta. El siguiente paso arquitectónico no es agregar toda la memoria posible, sino decidir qué memorias merecen persistirse, quién puede recuperarlas, cómo se evaluará su calidad y qué herramientas, si alguna, podrá invocar un agente.</w:t>
      </w:r>
    </w:p>
    <w:p>
      <w:pPr>
        <w:pStyle w:val="Heading1"/>
      </w:pPr>
      <w:r>
        <w:t>10 Lista de cierre</w:t>
      </w:r>
    </w:p>
    <w:p>
      <w:r>
        <w:rPr>
          <w:b/>
        </w:rPr>
        <w:t xml:space="preserve">☐ </w:t>
      </w:r>
      <w:r>
        <w:t>Preflight completado antes de la comparación final.</w:t>
      </w:r>
    </w:p>
    <w:p>
      <w:r>
        <w:rPr>
          <w:b/>
        </w:rPr>
        <w:t xml:space="preserve">☐ </w:t>
      </w:r>
      <w:r>
        <w:t>Los dos ejercicios ADB generaron JSON de evidencia local separados.</w:t>
      </w:r>
    </w:p>
    <w:p>
      <w:r>
        <w:rPr>
          <w:b/>
        </w:rPr>
        <w:t xml:space="preserve">☐ </w:t>
      </w:r>
      <w:r>
        <w:t>No se mostraron ni compartieron credenciales, wallets, tokens u OCIDs.</w:t>
      </w:r>
    </w:p>
    <w:p>
      <w:r>
        <w:rPr>
          <w:b/>
        </w:rPr>
        <w:t xml:space="preserve">☐ </w:t>
      </w:r>
      <w:r>
        <w:t>La comparación final utilizó exactamente las dos solicitudes aprobadas.</w:t>
      </w:r>
    </w:p>
    <w:p>
      <w:r>
        <w:rPr>
          <w:b/>
        </w:rPr>
        <w:t xml:space="preserve">☐ </w:t>
      </w:r>
      <w:r>
        <w:t>El dashboard mostró métricas OCI completas, calidad aprobada y menos tokens optimizados.</w:t>
      </w:r>
    </w:p>
    <w:p>
      <w:r>
        <w:rPr>
          <w:b/>
        </w:rPr>
        <w:t xml:space="preserve">☐ </w:t>
      </w:r>
      <w:r>
        <w:t>El grupo distinguió eficiencia de contexto de ahorro total de solución.</w:t>
      </w:r>
    </w:p>
    <w:p>
      <w:r>
        <w:rPr>
          <w:b/>
        </w:rPr>
        <w:t xml:space="preserve">☐ </w:t>
      </w:r>
      <w:r>
        <w:t>El cierre posicionó memoria como componente gobernado de una arquitectura de agentes.</w:t>
      </w:r>
    </w:p>
    <w:p>
      <w:r>
        <w:rPr>
          <w:b/>
        </w:rPr>
        <w:t xml:space="preserve">☐ </w:t>
      </w:r>
      <w:r>
        <w:t>Incidentes y cambios de prework quedaron registrados para el siguiente tenant.</w:t>
      </w:r>
    </w:p>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Workshop 1  Economia de tokens y memoria de decisiones en OCI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Facilitacion Detallada Workshop 1</dc:title>
  <dc:subject>Guia de facilitacion de memoria de decisiones y economia de tokens en OCI</dc:subject>
  <dc:creator>Khipu Workshop</dc:creator>
  <cp:keywords/>
  <dc:description>generated by python-docx</dc:description>
  <cp:lastModifiedBy/>
  <cp:revision>1</cp:revision>
  <dcterms:created xsi:type="dcterms:W3CDTF">2013-12-23T23:15:00Z</dcterms:created>
  <dcterms:modified xsi:type="dcterms:W3CDTF">2013-12-23T23:15:00Z</dcterms:modified>
  <cp:category/>
</cp:coreProperties>
</file>