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4:27. If the cut runs long, shorten line 10 or 13 first.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935"/>
        <w:gridCol w:w="1428"/>
        <w:gridCol w:w="5237"/>
        <w:gridCol w:w="5238"/>
      </w:tblGrid>
      <w:tr>
        <w:trPr>
          <w:cantSplit/>
          <w:tblHeader/>
        </w:trPr>
        <w:tc>
          <w:tcPr>
            <w:tcW w:type="dxa" w:w="29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2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23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523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Limits, risks and next steps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4:19</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limits, top three barriers, ethics, insurer pathway, answers to Imperial feedback</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risk register, ethics, translation, research integrity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4:19 to 4:27</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lines 14 and 15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Limits, risks and what comes next (3:05 to 4:19)</w:t>
      </w:r>
    </w:p>
    <w:p>
      <w:pPr>
        <w:spacing w:after="120"/>
      </w:pPr>
      <w:r>
        <w:t xml:space="preserve">Relay, one line each, each person on their own field. A single card behind each line. This part answers, before anyone asks: what the evidence does not prove, the top three barriers (accuracy, rider trust, insurer and regulator), the dual use risk, and each point in Imperial's feedback on our problem statement.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4360"/>
        <w:gridCol w:w="4360"/>
        <w:gridCol w:w="4364"/>
      </w:tblGrid>
      <w:tr>
        <w:trPr>
          <w:cantSplit/>
          <w:tblHeader/>
        </w:trPr>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4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trained on public fall data and tested on over eighteen hundred hours of real riding. Research mode now lets riders share their own rides, so we can retrain on road data.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"1,865 hours of real riding tested. Research mode live." Research mode toggle on /rider</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Limits of the evidence, further research</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Retraining nearly halved our false alarms. On real motorbike rides it is one every five hours, and any alarm can be cancelled within thirty seconds.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per hour handling. 0.2 per hour real riding." Sources: ml/STREAMING.md; TU Wien dataset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one: accuracy</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Following Imperial's feedback, the drop test protocol and data pipeline are ready, and helmet results will be in for the final, next to a live demo.</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prototype and validation</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Privacy is built in, not added on. Riders opt in each shift and own a signed copy of every record. No route history, no risk score. It supports triage; it never diagnoses.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two: rider trust. Feedback: consent, ownership, dual use</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insurance side is mapped end to end. A licensed insurer provides the cover, and we provide the trigger: a verified crash nobody cancelled, priced on sourced Hong Kong data.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three: insurer and regulator. Feedback: insurance mechanism</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sits on top of statutory compensation, and our route to market is the Insurance Authority's sandbox, which is built for insurers and technology partners like us.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top of statutory rights. Route to market: IA Insurtech Sandbox."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Hong Kong regulatory framework</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And the same record extends to outdoor workers in the heat, and to the schemes in mainland China and Singapore.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Map card: Hong Kong, Shenzhen, Singapore</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 and scale</w:t>
            </w:r>
          </w:p>
        </w:tc>
      </w:tr>
    </w:tbl>
    <w:p>
      <w:pPr>
        <w:spacing w:after="120"/>
      </w:pPr>
    </w:p>
    <w:p>
      <w:pPr>
        <w:spacing w:after="120"/>
      </w:pPr>
      <w:r>
        <w:t xml:space="preserve">About 190 words, 74 seconds. Lines 14 and 15 run about 10 seconds each; that is fine here.</w:t>
      </w:r>
    </w:p>
    <w:p>
      <w:pPr>
        <w:pStyle w:val="Heading1"/>
      </w:pPr>
      <w:r>
        <w:t xml:space="preserve">Part 7. End card (4:19 to 4:27)</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10 and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12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lines 14 and 15 (trigger, licensed insurer, on top of statutory rights, sandbox pilot)</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lines 14 and 15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(accuracy), line 13 (rider trust), lines 14 and 15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13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16</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6"/>
        <w:gridCol w:w="5912"/>
        <w:gridCol w:w="7420"/>
      </w:tblGrid>
      <w:tr>
        <w:trPr>
          <w:cantSplit/>
          <w:tblHeader/>
        </w:trPr>
        <w:tc>
          <w:tcPr>
            <w:tcW w:type="dxa" w:w="15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591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42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14, 15</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13, 16</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5, 9, 12</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 10</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4, 11</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16,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2026-10-23T12:15:04.375Z</dcterms:created>
  <dcterms:modified xsi:type="dcterms:W3CDTF">2026-10-23T12:15:04.376Z</dcterms:modified>
</cp:coreProperties>
</file>

<file path=docProps/custom.xml><?xml version="1.0" encoding="utf-8"?>
<Properties xmlns="http://schemas.openxmlformats.org/officeDocument/2006/custom-properties" xmlns:vt="http://schemas.openxmlformats.org/officeDocument/2006/docPropsVTypes"/>
</file>