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AI as a Financial Participant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shows the instalment share it would set inside the band (shown, not yet applied: the paid instalment uses the demo rate); CUSUM monitors on classifier risk and deny rate (monitoring, not decisions).</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262 training and 87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349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0x6161f6e08c8695849e7A8aF74c39a5A1056d5435</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0xAbE83C0dD54EAd67DB63C8f9e854f00756f29952</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r>
        <w:tc>
          <w:tcPr>
            <w:tcW w:type="dxa" w:w="2160"/>
          </w:tcPr>
          <w:p>
            <w:r/>
            <w:r>
              <w:rPr>
                <w:sz w:val="16"/>
              </w:rPr>
              <w:t>FISCO BCOS 3.16.3, chain id 20200</w:t>
            </w:r>
          </w:p>
        </w:tc>
        <w:tc>
          <w:tcPr>
            <w:tcW w:type="dxa" w:w="4320"/>
          </w:tcPr>
          <w:p>
            <w:r/>
            <w:r>
              <w:rPr>
                <w:sz w:val="16"/>
              </w:rPr>
              <w:t>WeBank's consortium chain, the lender's ledger: the same four contracts, every intent committed to its IntentLog</w:t>
            </w:r>
          </w:p>
        </w:tc>
        <w:tc>
          <w:tcPr>
            <w:tcW w:type="dxa" w:w="3168"/>
          </w:tcPr>
          <w:p>
            <w:r/>
            <w:r>
              <w:rPr>
                <w:sz w:val="16"/>
              </w:rPr>
              <w:t>IntentLog 0x9555c12c2789e44868070d0d877f9baadabe4f54</w:t>
            </w:r>
          </w:p>
        </w:tc>
      </w:tr>
      <w:tr>
        <w:tc>
          <w:tcPr>
            <w:tcW w:type="dxa" w:w="2160"/>
          </w:tcPr>
          <w:p>
            <w:r/>
            <w:r>
              <w:rPr>
                <w:sz w:val="16"/>
              </w:rPr>
              <w:t>FATE 2.2.0</w:t>
            </w:r>
          </w:p>
        </w:tc>
        <w:tc>
          <w:tcPr>
            <w:tcW w:type="dxa" w:w="4320"/>
          </w:tcPr>
          <w:p>
            <w:r/>
            <w:r>
              <w:rPr>
                <w:sz w:val="16"/>
              </w:rPr>
              <w:t>WeBank's federated learning framework: three lenders train one pilot credit model</w:t>
            </w:r>
          </w:p>
        </w:tc>
        <w:tc>
          <w:tcPr>
            <w:tcW w:type="dxa" w:w="3168"/>
          </w:tcPr>
          <w:p>
            <w:r/>
            <w:r>
              <w:rPr>
                <w:sz w:val="16"/>
              </w:rPr>
              <w:t>offline, fate/run.sh</w:t>
            </w:r>
          </w:p>
        </w:tc>
      </w:tr>
    </w:tbl>
    <w:p/>
    <w:p>
      <w:pPr>
        <w:pStyle w:val="Heading2"/>
      </w:pPr>
      <w:r>
        <w:rPr/>
        <w:t>Built on WeBank's stack: FISCO BCOS and FATE</w:t>
      </w:r>
    </w:p>
    <w:p>
      <w:pPr>
        <w:pStyle w:val="ListBullet2"/>
      </w:pPr>
      <w:r>
        <w:rPr/>
        <w:t>FISCO BCOS. The four contracts run unchanged on a FISCO BCOS 3.16.3 node in Docker, compiled with evm_version paris because FISCO's EVM has no PUSH0. The engine reaches it through FISCO's Web3 JSON-RPC with viem, the same code path as Base Sepolia. A full run sent 78 transactions to FISCO, 78 with a successful receipt; all 30 of 30 IntentLog commits read back with the engine's intent hash.</w:t>
      </w:r>
    </w:p>
    <w:p>
      <w:pPr>
        <w:pStyle w:val="ListBullet2"/>
      </w:pPr>
      <w:r>
        <w:rPr/>
        <w:t>Two ledgers, one hash. With both chains set, every intent is committed to the IntentLog on Base Sepolia, public and checkable by anyone, and on FISCO BCOS, the licensed lender's consortium ledger, and the feed shows both hashes. In one real run 15 of 15 intents have a successful receipt on both chains with the same hash.</w:t>
      </w:r>
    </w:p>
    <w:p>
      <w:pPr>
        <w:pStyle w:val="ListBullet2"/>
      </w:pPr>
      <w:r>
        <w:rPr/>
        <w:t>FATE. Three lenders train one pilot default model with FATE 2.2.0 HomoLR and secure aggregation, no repayment records shared. Held out AUC goes from 0.729 for one lender alone to 0.782 federated; the model sets a new pilot's starting credit score and cuts the instalment share error from 335 to 152 basis points. Data is synthetic and seeded.</w:t>
      </w:r>
    </w:p>
    <w:p>
      <w:pPr>
        <w:pStyle w:val="ListBullet2"/>
      </w:pPr>
      <w:r>
        <w:rPr/>
        <w:t>Model provenance. The FATE model's sha256 is committed to the FISCO IntentLog (tx 0x6a6be28d91..., block 82) and read back, so a lender can prove which model priced each pilot.</w:t>
      </w:r>
    </w:p>
    <w:p>
      <w:pPr>
        <w:pStyle w:val="ListBullet2"/>
      </w:pPr>
      <w:r>
        <w:rPr/>
        <w:t>Scope. The FISCO node runs locally and is reproduced with contracts/script/fisco.sh; the public demo cannot reach it, so it shows FISCO through the evidence file. FISCO's block time is in milliseconds, so JobBoard's windows need a unit fix before live jobs run there.</w:t>
      </w:r>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349 messages, 87 held out, seed 20251020</w:t>
            </w:r>
          </w:p>
        </w:tc>
        <w:tc>
          <w:tcPr>
            <w:tcW w:type="dxa" w:w="4320"/>
          </w:tcPr>
          <w:p>
            <w:r/>
            <w:r>
              <w:rPr>
                <w:sz w:val="16"/>
              </w:rPr>
              <w:t>accuracy 93.1%, precision 100.0%, recall 81.3%, false alarm 0.0%</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 in line with the PBoC's 2021 notice on virtual currency trading.</w:t>
      </w:r>
    </w:p>
    <w:p>
      <w:pPr>
        <w:pStyle w:val="ListBullet2"/>
      </w:pPr>
      <w:r>
        <w:rPr/>
        <w:t>Financial leasing (融资租赁): the lessor is a company licensed under the NFRA's Measures for the Administration of Financial Leasing Companies (2024) or the interim measures for financing lease companies (2020). Zishi services the contract inside a signed rate band; it does not lend.</w:t>
      </w:r>
    </w:p>
    <w:p>
      <w:pPr>
        <w:pStyle w:val="ListBullet2"/>
      </w:pPr>
      <w:r>
        <w:rPr/>
        <w:t>Payments: fees settle through a licensed bank or payment institution under the Regulations on Non-bank Payment Institutions (2024), or e-CNY. The chain records events; it does not custody customer funds.</w:t>
      </w:r>
    </w:p>
    <w:p>
      <w:pPr>
        <w:pStyle w:val="ListBullet2"/>
      </w:pPr>
      <w:r>
        <w:rPr/>
        <w:t>Drone operations: under the CAAC's Interim Regulations on the Flight Management of Unmanned Aircraft (2024) and CCAR-92, the pilot holds the operator licence and operation certificate, the drone is real name registered and third party liability insurance is in force. The job terms carry these as preconditions.</w:t>
      </w:r>
    </w:p>
    <w:p>
      <w:pPr>
        <w:pStyle w:val="ListBullet2"/>
      </w:pPr>
      <w:r>
        <w:rPr/>
        <w:t>Hong Kong: the same split under the HKMA (payments), the SFC (virtual asset activities) and the PDPO (personal data).</w:t>
      </w:r>
    </w:p>
    <w:p>
      <w:pPr>
        <w:pStyle w:val="ListBullet2"/>
      </w:pPr>
      <w:r>
        <w:rPr/>
        <w:t>Physical damage and third party liability are the pilot's drone insurance plus a human dispute path; the bonds cover rule breaks only.</w:t>
      </w:r>
    </w:p>
    <w:p>
      <w:pPr>
        <w:pStyle w:val="Heading2"/>
      </w:pPr>
      <w:r>
        <w:rPr/>
        <w:t>Known risks</w:t>
      </w:r>
    </w:p>
    <w:p>
      <w:pPr>
        <w:pStyle w:val="ListBullet2"/>
      </w:pPr>
      <w:r>
        <w:rPr/>
        <w:t>IntentLog.commit in v1 is permissionless and first writer wins per hash, so a third party could commit an agent's intent hash first and a compromised agent could skip committing. Fixed in IntentLogV2 and BondV2 (commit only by the job's agent, entries keyed by agent and hash, a skipped commit on a running job still slashable), deployed and demonstrated on FISCO BCOS with 16 Foundry tests; Base Sepolia keeps v1 until the redeploy.</w:t>
      </w:r>
    </w:p>
    <w:p>
      <w:pPr>
        <w:pStyle w:val="ListBullet2"/>
      </w:pPr>
      <w:r>
        <w:rPr/>
        <w:t>Demo keys are derived from fixed public strings so runs replay identically; anyone can derive them. Production keys live in the secure element, a hardware device and HSMs.</w:t>
      </w:r>
    </w:p>
    <w:p>
      <w:pPr>
        <w:pStyle w:val="ListBullet2"/>
      </w:pPr>
      <w:r>
        <w:rPr/>
        <w:t>Bond, JobBoard and Lease run as TypeScript mirrors in the live engine; a Foundry script runs one full job against the deployed contracts with its own evidence table.</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OPENROUTER_API_KEY (or an OpenRouter key in AI_GATEWAY_API_KEY)</w:t>
            </w:r>
          </w:p>
        </w:tc>
        <w:tc>
          <w:tcPr>
            <w:tcW w:type="dxa" w:w="6192"/>
          </w:tcPr>
          <w:p>
            <w:r/>
            <w:r>
              <w:rPr>
                <w:sz w:val="17"/>
              </w:rPr>
              <w:t>Free models only (ids ending in :free, enforced in code): the model writes explanations, reads messages into fields and rewords the ask the agent replies.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vendor violation on a live job: all to the treasury, no bounty, nothing to the pilot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0x6161f6e08c8695849e7A8aF74c39a5A1056d5435</w:t>
            </w:r>
          </w:p>
        </w:tc>
        <w:tc>
          <w:tcPr>
            <w:tcW w:type="dxa" w:w="4176"/>
          </w:tcPr>
          <w:p>
            <w:r/>
            <w:r>
              <w:rPr>
                <w:sz w:val="14"/>
              </w:rPr>
              <w:t>0x68f7117ae33a89819473d89a4ec2a70d2a5a7da8c681721dfdb68d37ecd5c578</w:t>
            </w:r>
          </w:p>
        </w:tc>
        <w:tc>
          <w:tcPr>
            <w:tcW w:type="dxa" w:w="864"/>
          </w:tcPr>
          <w:p>
            <w:r/>
            <w:r>
              <w:rPr>
                <w:sz w:val="14"/>
              </w:rPr>
              <w:t>1,949,523</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0xAbE83C0dD54EAd67DB63C8f9e854f00756f29952</w:t>
            </w:r>
          </w:p>
        </w:tc>
        <w:tc>
          <w:tcPr>
            <w:tcW w:type="dxa" w:w="4176"/>
          </w:tcPr>
          <w:p>
            <w:r/>
            <w:r>
              <w:rPr>
                <w:sz w:val="14"/>
              </w:rPr>
              <w:t>0x97227e36f9d0c8beaa5fdd3e571ac0123e21c52f1017c4a2dd1bfdb40d2f6c1e</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353adb2f4aa4):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