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AI as a Financial Participant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moves the instalment share inside the band; CUSUM monitors on classifier risk and deny rate.</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301 training and 100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401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bl>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401 messages, 100 held out, seed 20251020</w:t>
            </w:r>
          </w:p>
        </w:tc>
        <w:tc>
          <w:tcPr>
            <w:tcW w:type="dxa" w:w="4320"/>
          </w:tcPr>
          <w:p>
            <w:r/>
            <w:r>
              <w:rPr>
                <w:sz w:val="16"/>
              </w:rPr>
              <w:t>accuracy 95.0%, precision 93.3%, recall 95.5%, false alarm 5.4%</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w:t>
      </w:r>
    </w:p>
    <w:p>
      <w:pPr>
        <w:pStyle w:val="ListBullet2"/>
      </w:pPr>
      <w:r>
        <w:rPr/>
        <w:t>Physical damage and third party liability are the pilot's drone insurance plus a human dispute path; the bonds cover rule breaks only.</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AI_GATEWAY_API_KEY or ANTHROPIC_API_KEY</w:t>
            </w:r>
          </w:p>
        </w:tc>
        <w:tc>
          <w:tcPr>
            <w:tcW w:type="dxa" w:w="6192"/>
          </w:tcPr>
          <w:p>
            <w:r/>
            <w:r>
              <w:rPr>
                <w:sz w:val="17"/>
              </w:rPr>
              <w:t>The model writes explanations and reads messages into fields.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b568945ceae8):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