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315FD8"/>
          <w:sz w:val="17"/>
        </w:rPr>
        <w:t>2026 FINTECHATHON · SUBMISSION TEMPLATE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7213A"/>
          <w:sz w:val="46"/>
        </w:rPr>
        <w:t>International AI Track | Technical Document</w:t>
      </w:r>
    </w:p>
    <w:p>
      <w:pPr>
        <w:spacing w:after="320"/>
      </w:pPr>
      <w:r>
        <w:rPr>
          <w:color w:val="616C7F"/>
          <w:sz w:val="20"/>
        </w:rPr>
        <w:t>Required material for the International AI Track. Please complete this document in English.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Team name</w:t>
            </w:r>
          </w:p>
        </w:tc>
        <w:tc>
          <w:tcPr>
            <w:tcW w:type="dxa" w:w="7704"/>
          </w:tcPr>
          <w:p>
            <w:r>
              <w:rPr>
                <w:color w:val="616C7F"/>
              </w:rPr>
              <w:t>Please complete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Competition track</w:t>
            </w:r>
          </w:p>
        </w:tc>
        <w:tc>
          <w:tcPr>
            <w:tcW w:type="dxa" w:w="7704"/>
          </w:tcPr>
          <w:p>
            <w:r>
              <w:rPr>
                <w:color w:val="616C7F"/>
              </w:rPr>
              <w:t>Please complete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Submission date</w:t>
            </w:r>
          </w:p>
        </w:tc>
        <w:tc>
          <w:tcPr>
            <w:tcW w:type="dxa" w:w="7704"/>
          </w:tcPr>
          <w:p>
            <w:r>
              <w:rPr>
                <w:color w:val="616C7F"/>
              </w:rPr>
              <w:t>Please complete</w:t>
            </w:r>
          </w:p>
        </w:tc>
      </w:tr>
    </w:tbl>
    <w:p/>
    <w:p>
      <w:pPr>
        <w:pStyle w:val="Heading1"/>
      </w:pPr>
      <w:r>
        <w:t>01 Project Overview</w:t>
      </w:r>
    </w:p>
    <w:p>
      <w:pPr>
        <w:pStyle w:val="ListBullet"/>
        <w:spacing w:after="100"/>
      </w:pPr>
      <w:r>
        <w:t>Problem, target users and selected topic</w:t>
      </w:r>
    </w:p>
    <w:p>
      <w:pPr>
        <w:spacing w:after="180"/>
        <w:ind w:left="317"/>
      </w:pPr>
      <w:r>
        <w:rPr>
          <w:color w:val="A0A8B7"/>
        </w:rPr>
        <w:t>Write here</w:t>
      </w:r>
    </w:p>
    <w:p>
      <w:pPr>
        <w:pStyle w:val="ListBullet"/>
        <w:spacing w:after="100"/>
      </w:pPr>
      <w:r>
        <w:t>Core value and innovation</w:t>
      </w:r>
    </w:p>
    <w:p>
      <w:pPr>
        <w:spacing w:after="180"/>
        <w:ind w:left="317"/>
      </w:pPr>
      <w:r>
        <w:rPr>
          <w:color w:val="A0A8B7"/>
        </w:rPr>
        <w:t>Write here</w:t>
      </w:r>
    </w:p>
    <w:p>
      <w:pPr>
        <w:pStyle w:val="Heading1"/>
      </w:pPr>
      <w:r>
        <w:t>02 System Architecture</w:t>
      </w:r>
    </w:p>
    <w:p>
      <w:pPr>
        <w:pStyle w:val="ListBullet"/>
        <w:spacing w:after="100"/>
      </w:pPr>
      <w:r>
        <w:t>Architecture diagram and component responsibilities</w:t>
      </w:r>
    </w:p>
    <w:p>
      <w:pPr>
        <w:spacing w:after="180"/>
        <w:ind w:left="317"/>
      </w:pPr>
      <w:r>
        <w:rPr>
          <w:color w:val="A0A8B7"/>
        </w:rPr>
        <w:t>Write here</w:t>
      </w:r>
    </w:p>
    <w:p>
      <w:pPr>
        <w:pStyle w:val="ListBullet"/>
        <w:spacing w:after="100"/>
      </w:pPr>
      <w:r>
        <w:t>Models, tools, data sources and external services</w:t>
      </w:r>
    </w:p>
    <w:p>
      <w:pPr>
        <w:spacing w:after="180"/>
        <w:ind w:left="317"/>
      </w:pPr>
      <w:r>
        <w:rPr>
          <w:color w:val="A0A8B7"/>
        </w:rPr>
        <w:t>Write here</w:t>
      </w:r>
    </w:p>
    <w:p>
      <w:pPr>
        <w:pStyle w:val="Heading1"/>
      </w:pPr>
      <w:r>
        <w:t>03 Agent Design</w:t>
      </w:r>
    </w:p>
    <w:p>
      <w:pPr>
        <w:pStyle w:val="ListBullet"/>
        <w:spacing w:after="100"/>
      </w:pPr>
      <w:r>
        <w:t>Intent understanding, planning, tool use and state management</w:t>
      </w:r>
    </w:p>
    <w:p>
      <w:pPr>
        <w:spacing w:after="180"/>
        <w:ind w:left="317"/>
      </w:pPr>
      <w:r>
        <w:rPr>
          <w:color w:val="A0A8B7"/>
        </w:rPr>
        <w:t>Write here</w:t>
      </w:r>
    </w:p>
    <w:p>
      <w:pPr>
        <w:pStyle w:val="ListBullet"/>
        <w:spacing w:after="100"/>
      </w:pPr>
      <w:r>
        <w:t>Core algorithms and evaluation approach</w:t>
      </w:r>
    </w:p>
    <w:p>
      <w:pPr>
        <w:spacing w:after="180"/>
        <w:ind w:left="317"/>
      </w:pPr>
      <w:r>
        <w:rPr>
          <w:color w:val="A0A8B7"/>
        </w:rPr>
        <w:t>Write here</w:t>
      </w:r>
    </w:p>
    <w:p>
      <w:pPr>
        <w:pStyle w:val="Heading1"/>
      </w:pPr>
      <w:r>
        <w:t>04 Security Design</w:t>
      </w:r>
    </w:p>
    <w:p>
      <w:pPr>
        <w:pStyle w:val="ListBullet"/>
        <w:spacing w:after="100"/>
      </w:pPr>
      <w:r>
        <w:t>Tiered permissions and confirmation for sensitive actions</w:t>
      </w:r>
    </w:p>
    <w:p>
      <w:pPr>
        <w:spacing w:after="180"/>
        <w:ind w:left="317"/>
      </w:pPr>
      <w:r>
        <w:rPr>
          <w:color w:val="A0A8B7"/>
        </w:rPr>
        <w:t>Write here</w:t>
      </w:r>
    </w:p>
    <w:p>
      <w:pPr>
        <w:pStyle w:val="ListBullet"/>
        <w:spacing w:after="100"/>
      </w:pPr>
      <w:r>
        <w:t>Protection against prompt injection, privilege escalation and privacy leakage</w:t>
      </w:r>
    </w:p>
    <w:p>
      <w:pPr>
        <w:spacing w:after="180"/>
        <w:ind w:left="317"/>
      </w:pPr>
      <w:r>
        <w:rPr>
          <w:color w:val="A0A8B7"/>
        </w:rPr>
        <w:t>Write here</w:t>
      </w:r>
    </w:p>
    <w:p>
      <w:pPr>
        <w:pStyle w:val="Heading1"/>
      </w:pPr>
      <w:r>
        <w:t>05 Deployment and Testing</w:t>
      </w:r>
    </w:p>
    <w:p>
      <w:pPr>
        <w:pStyle w:val="ListBullet"/>
        <w:spacing w:after="100"/>
      </w:pPr>
      <w:r>
        <w:t>Environment, deployment instructions, test cases and known limitations</w:t>
      </w:r>
    </w:p>
    <w:p>
      <w:pPr>
        <w:spacing w:after="180"/>
        <w:ind w:left="317"/>
      </w:pPr>
      <w:r>
        <w:rPr>
          <w:color w:val="A0A8B7"/>
        </w:rPr>
        <w:t>Write here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6C7F"/>
        <w:sz w:val="16"/>
      </w:rPr>
      <w:t>Complete this document according to the competition notice. If a newer template is published, the newer version prevails.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72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