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Agent Wallet, under the theme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shows the instalment share it would set inside the band (shown, not yet applied: the paid instalment uses the demo rate); CUSUM monitors on classifier risk and deny rate (monitoring, not decisions).</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262 training and 87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349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reaches it through a tunnel and settles each job's money on the deployed contracts there, falling back to the labelled simulation when the node is down. FISCO's block time is in milliseconds; the settlement adapter converts job windows and holds.</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Dialogue: ask the agent why</w:t>
      </w:r>
    </w:p>
    <w:p>
      <w:r>
        <w:rPr/>
        <w:t>After a declined job the pilot can ask the agent why (web/src/engine/ask.ts, POST /api/ask). The agent answers from the engine's own numbers in English or Chinese, asks one clarifying question with concrete choices (accept at the break even rate, propose a rate, keep it declined), recomputes any correction with the same planner and policy engine, and refuses what the rules forbid while naming the rule and who can change it. It works without a model; with the free model the wording may change, never the numbers or the decision.</w:t>
      </w:r>
    </w:p>
    <w:p>
      <w:pPr>
        <w:pStyle w:val="Heading2"/>
      </w:pPr>
      <w:r>
        <w:rPr/>
        <w:t>Settlement on the contracts, with recovery</w:t>
      </w:r>
    </w:p>
    <w:p>
      <w:r>
        <w:rPr/>
        <w:t>On FISCO BCOS the engine settles each job's money on the deployed contracts in the same loop (engine/settle.ts): vendor bond, fee locked in JobBoard, confirmed and split, instalments through Lease.pay, slash by proof, title transfer. In the recorded run 16 contract calls and 10 funding transfers to fresh role wallets, 26 of 26 successful; a free model read 5 of 5 job offers and code accepted 5 readings against the signed listings. Every call goes through one recovery wrapper: sent, confirmed or failed, retried with a fresh nonce on network errors, compensated on a revert (JobBoard.cancel refunds the farmer), or given up with an alert. Both fault drills (a failed confirm, a reverted start) recovered on chain.</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349 messages, 87 held out, seed 20251020</w:t>
            </w:r>
          </w:p>
        </w:tc>
        <w:tc>
          <w:tcPr>
            <w:tcW w:type="dxa" w:w="4320"/>
          </w:tcPr>
          <w:p>
            <w:r/>
            <w:r>
              <w:rPr>
                <w:sz w:val="16"/>
              </w:rPr>
              <w:t>accuracy 93.1%, precision 100.0%, recall 81.3%, false alarm 0.0%</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Security tests and scans</w:t>
      </w:r>
    </w:p>
    <w:p>
      <w:pPr>
        <w:pStyle w:val="ListBullet2"/>
      </w:pPr>
      <w:r>
        <w:rPr/>
        <w:t>Static analysis: Slither over every contract, 42 findings triaged, 0 true issues of medium or higher; details in docs/SECURITY_SCAN.md.</w:t>
      </w:r>
    </w:p>
    <w:p>
      <w:pPr>
        <w:pStyle w:val="ListBullet2"/>
      </w:pPr>
      <w:r>
        <w:rPr/>
        <w:t>Dependencies: pnpm audit, 0 vulnerabilities in production dependencies; secrets: gitleaks over the whole git history, 0 leaks.</w:t>
      </w:r>
    </w:p>
    <w:p>
      <w:pPr>
        <w:pStyle w:val="ListBullet2"/>
      </w:pPr>
      <w:r>
        <w:rPr/>
        <w:t>Receipts: pnpm verify:all re-fetched 329 of 329 claimed transactions on Base Sepolia and FISCO BCOS and matched 46 intent hashes in calldata.</w:t>
      </w:r>
    </w:p>
    <w:p>
      <w:pPr>
        <w:pStyle w:val="ListBullet2"/>
      </w:pPr>
      <w:r>
        <w:rPr/>
        <w:t>Threat model (STRIDE) with a control and evidence per threat, and the official self-assessment template, in docs/Zishi_Security_Self_Assessment.docx.</w:t>
      </w:r>
    </w:p>
    <w:p>
      <w:pPr>
        <w:pStyle w:val="ListBullet2"/>
      </w:pPr>
      <w:r>
        <w:rPr/>
        <w:t>Failure recovery: retry, compensation and give up paths tested in pnpm test and drilled on chain.</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r>
        <w:rPr/>
        <w:t>Automated decisions (PIPL Article 24): every money decision is rule based and the person affected can ask why through the ask the agent panel; held logs and slashes have a human dispute path. A short impact assessment under Articles 55 and 56 is in the security self-assessment.</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 in line with the PBoC's 2021 notice on virtual currency trading.</w:t>
      </w:r>
    </w:p>
    <w:p>
      <w:pPr>
        <w:pStyle w:val="ListBullet2"/>
      </w:pPr>
      <w:r>
        <w:rPr/>
        <w:t>Financial leasing (融资租赁): the lessor is a company licensed under the NFRA's Measures for the Administration of Financial Leasing Companies (2024) or the interim measures for financing lease companies (2020). Zishi services the contract inside a signed rate band; it does not lend.</w:t>
      </w:r>
    </w:p>
    <w:p>
      <w:pPr>
        <w:pStyle w:val="ListBullet2"/>
      </w:pPr>
      <w:r>
        <w:rPr/>
        <w:t>Payments: fees settle through a licensed bank or payment institution under the Regulations on Non-bank Payment Institutions (2024), or e-CNY. The chain records events; it does not custody customer funds.</w:t>
      </w:r>
    </w:p>
    <w:p>
      <w:pPr>
        <w:pStyle w:val="ListBullet2"/>
      </w:pPr>
      <w:r>
        <w:rPr/>
        <w:t>Drone operations: under the CAAC's Interim Regulations on the Flight Management of Unmanned Aircraft (2024) and CCAR-92, the pilot holds the operator licence and operation certificate, the drone is real name registered and third party liability insurance is in force. The job terms carry these as preconditions.</w:t>
      </w:r>
    </w:p>
    <w:p>
      <w:pPr>
        <w:pStyle w:val="ListBullet2"/>
      </w:pPr>
      <w:r>
        <w:rPr/>
        <w:t>Hong Kong: the same split under the HKMA (payments), the SFC (virtual asset activities) and the PDPO (personal data).</w:t>
      </w:r>
    </w:p>
    <w:p>
      <w:pPr>
        <w:pStyle w:val="ListBullet2"/>
      </w:pPr>
      <w:r>
        <w:rPr/>
        <w:t>Physical damage and third party liability are the pilot's drone insurance plus a human dispute path; the bonds cover rule breaks only.</w:t>
      </w:r>
    </w:p>
    <w:p>
      <w:pPr>
        <w:pStyle w:val="Heading2"/>
      </w:pPr>
      <w:r>
        <w:rPr/>
        <w:t>Known risks</w:t>
      </w:r>
    </w:p>
    <w:p>
      <w:pPr>
        <w:pStyle w:val="ListBullet2"/>
      </w:pPr>
      <w:r>
        <w:rPr/>
        <w:t>IntentLog.commit in v1 is permissionless and first writer wins per hash, so a third party could commit an agent's intent hash first and a compromised agent could skip committing. Fixed in IntentLogV2 and BondV2 (commit only by the job's agent, entries keyed by agent and hash, a skipped commit on a running job still slashable), deployed and demonstrated on FISCO BCOS with 16 Foundry tests; Base Sepolia keeps v1 until the redeploy.</w:t>
      </w:r>
    </w:p>
    <w:p>
      <w:pPr>
        <w:pStyle w:val="ListBullet2"/>
      </w:pPr>
      <w:r>
        <w:rPr/>
        <w:t>Actor keys are random per server instance and held in memory; a fixed derivation from public labels exists only for tests and replays. They are still software keys on one server; production keys live in the secure element, a hardware device and HSMs.</w:t>
      </w:r>
    </w:p>
    <w:p>
      <w:pPr>
        <w:pStyle w:val="ListBullet2"/>
      </w:pPr>
      <w:r>
        <w:rPr/>
        <w:t>Bond, JobBoard and Lease run as TypeScript mirrors in the live engine; a Foundry script runs one full job against the deployed contracts with its own evidence table.</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OPENROUTER_API_KEY (or an OpenRouter key in AI_GATEWAY_API_KEY)</w:t>
            </w:r>
          </w:p>
        </w:tc>
        <w:tc>
          <w:tcPr>
            <w:tcW w:type="dxa" w:w="6192"/>
          </w:tcPr>
          <w:p>
            <w:r/>
            <w:r>
              <w:rPr>
                <w:sz w:val="17"/>
              </w:rPr>
              <w:t>Free models only (ids ending in :free, enforced in code): the model writes explanations, reads messages into fields and rewords the ask the agent replies.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1ae830c34b8d):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