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12080" cy="138988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_nexoaula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13898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Title"/>
        <w:jc w:val="center"/>
      </w:pPr>
      <w:r>
        <w:t>Política de Reembolso de Matrículas</w:t>
      </w:r>
    </w:p>
    <w:p>
      <w:pPr>
        <w:pStyle w:val="Subtitle"/>
        <w:jc w:val="center"/>
      </w:pPr>
      <w:r>
        <w:t>Criterios, plazos, exclusiones y procedimiento para solicitar un reembolso.</w:t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04"/>
        <w:gridCol w:w="6480"/>
      </w:tblGrid>
      <w:tr>
        <w:tc>
          <w:tcPr>
            <w:tcW w:type="dxa" w:w="4997"/>
            <w:shd w:fill="ECFEFF"/>
            <w:tcMar>
              <w:top w:w="130" w:type="dxa"/>
              <w:start w:w="150" w:type="dxa"/>
              <w:bottom w:w="130" w:type="dxa"/>
              <w:end w:w="150" w:type="dxa"/>
            </w:tcMar>
            <w:vAlign w:val="center"/>
          </w:tcPr>
          <w:p>
            <w:r>
              <w:rPr>
                <w:rFonts w:ascii="Liberation Sans" w:hAnsi="Liberation Sans"/>
                <w:b/>
                <w:sz w:val="19"/>
              </w:rPr>
              <w:t>Versión</w:t>
            </w:r>
          </w:p>
        </w:tc>
        <w:tc>
          <w:tcPr>
            <w:tcW w:type="dxa" w:w="4997"/>
            <w:tcMar>
              <w:top w:w="130" w:type="dxa"/>
              <w:start w:w="150" w:type="dxa"/>
              <w:bottom w:w="130" w:type="dxa"/>
              <w:end w:w="150" w:type="dxa"/>
            </w:tcMar>
            <w:vAlign w:val="center"/>
          </w:tcPr>
          <w:p>
            <w:r>
              <w:rPr>
                <w:rFonts w:ascii="Liberation Sans" w:hAnsi="Liberation Sans"/>
                <w:sz w:val="19"/>
              </w:rPr>
              <w:t>1.0</w:t>
            </w:r>
          </w:p>
        </w:tc>
      </w:tr>
      <w:tr>
        <w:tc>
          <w:tcPr>
            <w:tcW w:type="dxa" w:w="4997"/>
            <w:shd w:fill="ECFEFF"/>
            <w:tcMar>
              <w:top w:w="130" w:type="dxa"/>
              <w:start w:w="150" w:type="dxa"/>
              <w:bottom w:w="130" w:type="dxa"/>
              <w:end w:w="150" w:type="dxa"/>
            </w:tcMar>
            <w:vAlign w:val="center"/>
          </w:tcPr>
          <w:p>
            <w:r>
              <w:rPr>
                <w:rFonts w:ascii="Liberation Sans" w:hAnsi="Liberation Sans"/>
                <w:b/>
                <w:sz w:val="19"/>
              </w:rPr>
              <w:t>Vigencia</w:t>
            </w:r>
          </w:p>
        </w:tc>
        <w:tc>
          <w:tcPr>
            <w:tcW w:type="dxa" w:w="4997"/>
            <w:tcMar>
              <w:top w:w="130" w:type="dxa"/>
              <w:start w:w="150" w:type="dxa"/>
              <w:bottom w:w="130" w:type="dxa"/>
              <w:end w:w="150" w:type="dxa"/>
            </w:tcMar>
            <w:vAlign w:val="center"/>
          </w:tcPr>
          <w:p>
            <w:r>
              <w:rPr>
                <w:rFonts w:ascii="Liberation Sans" w:hAnsi="Liberation Sans"/>
                <w:sz w:val="19"/>
              </w:rPr>
              <w:t>1 de agosto de 2026</w:t>
            </w:r>
          </w:p>
        </w:tc>
      </w:tr>
      <w:tr>
        <w:tc>
          <w:tcPr>
            <w:tcW w:type="dxa" w:w="4997"/>
            <w:shd w:fill="ECFEFF"/>
            <w:tcMar>
              <w:top w:w="130" w:type="dxa"/>
              <w:start w:w="150" w:type="dxa"/>
              <w:bottom w:w="130" w:type="dxa"/>
              <w:end w:w="150" w:type="dxa"/>
            </w:tcMar>
            <w:vAlign w:val="center"/>
          </w:tcPr>
          <w:p>
            <w:r>
              <w:rPr>
                <w:rFonts w:ascii="Liberation Sans" w:hAnsi="Liberation Sans"/>
                <w:b/>
                <w:sz w:val="19"/>
              </w:rPr>
              <w:t>Responsable</w:t>
            </w:r>
          </w:p>
        </w:tc>
        <w:tc>
          <w:tcPr>
            <w:tcW w:type="dxa" w:w="4997"/>
            <w:tcMar>
              <w:top w:w="130" w:type="dxa"/>
              <w:start w:w="150" w:type="dxa"/>
              <w:bottom w:w="130" w:type="dxa"/>
              <w:end w:w="150" w:type="dxa"/>
            </w:tcMar>
            <w:vAlign w:val="center"/>
          </w:tcPr>
          <w:p>
            <w:r>
              <w:rPr>
                <w:rFonts w:ascii="Liberation Sans" w:hAnsi="Liberation Sans"/>
                <w:sz w:val="19"/>
              </w:rPr>
              <w:t>Administración y Servicio al Estudiante</w:t>
            </w:r>
          </w:p>
        </w:tc>
      </w:tr>
      <w:tr>
        <w:tc>
          <w:tcPr>
            <w:tcW w:type="dxa" w:w="4997"/>
            <w:shd w:fill="ECFEFF"/>
            <w:tcMar>
              <w:top w:w="130" w:type="dxa"/>
              <w:start w:w="150" w:type="dxa"/>
              <w:bottom w:w="130" w:type="dxa"/>
              <w:end w:w="150" w:type="dxa"/>
            </w:tcMar>
            <w:vAlign w:val="center"/>
          </w:tcPr>
          <w:p>
            <w:r>
              <w:rPr>
                <w:rFonts w:ascii="Liberation Sans" w:hAnsi="Liberation Sans"/>
                <w:b/>
                <w:sz w:val="19"/>
              </w:rPr>
              <w:t>Estado</w:t>
            </w:r>
          </w:p>
        </w:tc>
        <w:tc>
          <w:tcPr>
            <w:tcW w:type="dxa" w:w="4997"/>
            <w:tcMar>
              <w:top w:w="130" w:type="dxa"/>
              <w:start w:w="150" w:type="dxa"/>
              <w:bottom w:w="130" w:type="dxa"/>
              <w:end w:w="150" w:type="dxa"/>
            </w:tcMar>
            <w:vAlign w:val="center"/>
          </w:tcPr>
          <w:p>
            <w:r>
              <w:rPr>
                <w:rFonts w:ascii="Liberation Sans" w:hAnsi="Liberation Sans"/>
                <w:sz w:val="19"/>
              </w:rPr>
              <w:t>Documento base para proyecto académico</w:t>
            </w:r>
          </w:p>
        </w:tc>
      </w:tr>
    </w:tbl>
    <w:p/>
    <w:p>
      <w:pPr>
        <w:jc w:val="center"/>
      </w:pPr>
      <w:r>
        <w:rPr>
          <w:i/>
          <w:color w:val="475569"/>
          <w:sz w:val="18"/>
        </w:rPr>
        <w:t>Uso previsto: base de conocimiento del agente educativo con RAG. Revisar y adaptar antes de uso comercial.</w:t>
      </w:r>
    </w:p>
    <w:p>
      <w:r>
        <w:br w:type="page"/>
      </w:r>
    </w:p>
    <w:p>
      <w:pPr>
        <w:pStyle w:val="Heading1"/>
      </w:pPr>
      <w:r>
        <w:t>1. Alcance</w:t>
      </w:r>
    </w:p>
    <w:p>
      <w:r>
        <w:t>Esta política se aplica a matrículas pagadas directamente a NexoAula mediante los medios habilitados en la plataforma. Las compras realizadas a través de un tercero pueden estar sujetas a las reglas de ese canal.</w:t>
      </w:r>
    </w:p>
    <w:p>
      <w:r>
        <w:t>Los impuestos, comisiones bancarias y diferencias de tipo de cambio se tratan conforme a lo indicado en esta política y a las condiciones del procesador de pago.</w:t>
      </w:r>
    </w:p>
    <w:p>
      <w:pPr>
        <w:pStyle w:val="Heading1"/>
      </w:pPr>
      <w:r>
        <w:t>2. Regla general para cursos autogestionados</w:t>
      </w:r>
    </w:p>
    <w:p>
      <w:r>
        <w:t>El estudiante puede solicitar un reembolso dentro de los siete días calendario posteriores a la compra, siempre que haya completado menos del 20 % del contenido obligatorio y no haya descargado ni generado el certificado.</w:t>
      </w:r>
    </w:p>
    <w:p>
      <w:r>
        <w:t>Cuando se cumplan estas tres condiciones, el reembolso será del 100 % del importe neto efectivamente pagado a NexoAula.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994"/>
            <w:shd w:fill="FFF7ED"/>
            <w:tcMar>
              <w:top w:w="150" w:type="dxa"/>
              <w:start w:w="170" w:type="dxa"/>
              <w:bottom w:w="150" w:type="dxa"/>
              <w:end w:w="170" w:type="dxa"/>
            </w:tcMar>
          </w:tcPr>
          <w:p>
            <w:r>
              <w:rPr>
                <w:rFonts w:ascii="Liberation Sans" w:hAnsi="Liberation Sans"/>
                <w:b/>
                <w:color w:val="9A3412"/>
                <w:sz w:val="18"/>
              </w:rPr>
              <w:t>NOTA CLAVE</w:t>
              <w:br/>
              <w:t>Regla maestra: 7 días calendario + progreso menor al 20 % + certificado no emitido.</w:t>
            </w:r>
          </w:p>
        </w:tc>
      </w:tr>
    </w:tbl>
    <w:p/>
    <w:p>
      <w:pPr>
        <w:pStyle w:val="Heading1"/>
      </w:pPr>
      <w:r>
        <w:t>3. Cohortes, talleres y sesiones en vivo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tblHeader w:val="true"/>
        </w:trPr>
        <w:tc>
          <w:tcPr>
            <w:tcW w:type="dxa" w:w="4997"/>
            <w:shd w:fill="172554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jc w:val="center"/>
            </w:pPr>
            <w:r>
              <w:rPr>
                <w:rFonts w:ascii="Liberation Sans" w:hAnsi="Liberation Sans"/>
                <w:b/>
                <w:color w:val="FFFFFF"/>
                <w:sz w:val="18"/>
              </w:rPr>
              <w:t>Momento de la solicitud</w:t>
            </w:r>
          </w:p>
        </w:tc>
        <w:tc>
          <w:tcPr>
            <w:tcW w:type="dxa" w:w="4997"/>
            <w:shd w:fill="172554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jc w:val="center"/>
            </w:pPr>
            <w:r>
              <w:rPr>
                <w:rFonts w:ascii="Liberation Sans" w:hAnsi="Liberation Sans"/>
                <w:b/>
                <w:color w:val="FFFFFF"/>
                <w:sz w:val="18"/>
              </w:rPr>
              <w:t>Reembolso aplicable</w:t>
            </w:r>
          </w:p>
        </w:tc>
      </w:tr>
      <w:tr>
        <w:tc>
          <w:tcPr>
            <w:tcW w:type="dxa" w:w="4997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r>
              <w:rPr>
                <w:rFonts w:ascii="Liberation Sans" w:hAnsi="Liberation Sans"/>
                <w:sz w:val="18"/>
              </w:rPr>
              <w:t>Hasta 7 días calendario antes del inicio</w:t>
            </w:r>
          </w:p>
        </w:tc>
        <w:tc>
          <w:tcPr>
            <w:tcW w:type="dxa" w:w="4997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jc w:val="left"/>
            </w:pPr>
            <w:r>
              <w:rPr>
                <w:rFonts w:ascii="Liberation Sans" w:hAnsi="Liberation Sans"/>
                <w:sz w:val="18"/>
              </w:rPr>
              <w:t>100 % del importe neto pagado</w:t>
            </w:r>
          </w:p>
        </w:tc>
      </w:tr>
      <w:tr>
        <w:tc>
          <w:tcPr>
            <w:tcW w:type="dxa" w:w="4997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r>
              <w:rPr>
                <w:rFonts w:ascii="Liberation Sans" w:hAnsi="Liberation Sans"/>
                <w:sz w:val="18"/>
              </w:rPr>
              <w:t>Entre 6 y 1 día calendario antes del inicio</w:t>
            </w:r>
          </w:p>
        </w:tc>
        <w:tc>
          <w:tcPr>
            <w:tcW w:type="dxa" w:w="4997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jc w:val="left"/>
            </w:pPr>
            <w:r>
              <w:rPr>
                <w:rFonts w:ascii="Liberation Sans" w:hAnsi="Liberation Sans"/>
                <w:sz w:val="18"/>
              </w:rPr>
              <w:t>80 % del importe neto pagado</w:t>
            </w:r>
          </w:p>
        </w:tc>
      </w:tr>
      <w:tr>
        <w:tc>
          <w:tcPr>
            <w:tcW w:type="dxa" w:w="4997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r>
              <w:rPr>
                <w:rFonts w:ascii="Liberation Sans" w:hAnsi="Liberation Sans"/>
                <w:sz w:val="18"/>
              </w:rPr>
              <w:t>Desde el día de inicio</w:t>
            </w:r>
          </w:p>
        </w:tc>
        <w:tc>
          <w:tcPr>
            <w:tcW w:type="dxa" w:w="4997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jc w:val="left"/>
            </w:pPr>
            <w:r>
              <w:rPr>
                <w:rFonts w:ascii="Liberation Sans" w:hAnsi="Liberation Sans"/>
                <w:sz w:val="18"/>
              </w:rPr>
              <w:t>No reembolsable, salvo cancelación de NexoAula o fuerza mayor documentada</w:t>
            </w:r>
          </w:p>
        </w:tc>
      </w:tr>
    </w:tbl>
    <w:p/>
    <w:p>
      <w:pPr>
        <w:pStyle w:val="Heading1"/>
      </w:pPr>
      <w:r>
        <w:t>4. Casos con reembolso íntegro</w:t>
      </w:r>
    </w:p>
    <w:p>
      <w:pPr>
        <w:pStyle w:val="ListBullet"/>
      </w:pPr>
      <w:r>
        <w:t>Cobro duplicado confirmado.</w:t>
      </w:r>
    </w:p>
    <w:p>
      <w:pPr>
        <w:pStyle w:val="ListBullet"/>
      </w:pPr>
      <w:r>
        <w:t>Curso cancelado por NexoAula sin una alternativa equivalente aceptada por el estudiante.</w:t>
      </w:r>
    </w:p>
    <w:p>
      <w:pPr>
        <w:pStyle w:val="ListBullet"/>
      </w:pPr>
      <w:r>
        <w:t>Imposibilidad técnica atribuible a NexoAula que impida el acceso durante más de setenta y dos horas continuas y no pueda ser solucionada.</w:t>
      </w:r>
    </w:p>
    <w:p>
      <w:pPr>
        <w:pStyle w:val="ListBullet"/>
      </w:pPr>
      <w:r>
        <w:t>Contenido sustancialmente distinto de la descripción comercial vigente al momento de la compra.</w:t>
      </w:r>
    </w:p>
    <w:p>
      <w:pPr>
        <w:pStyle w:val="Heading1"/>
      </w:pPr>
      <w:r>
        <w:t>5. Casos no reembolsables</w:t>
      </w:r>
    </w:p>
    <w:p>
      <w:pPr>
        <w:pStyle w:val="ListBullet"/>
      </w:pPr>
      <w:r>
        <w:t>Solicitud presentada fuera del plazo aplicable.</w:t>
      </w:r>
    </w:p>
    <w:p>
      <w:pPr>
        <w:pStyle w:val="ListBullet"/>
      </w:pPr>
      <w:r>
        <w:t>Progreso igual o superior al 20 % en un curso autogestionado.</w:t>
      </w:r>
    </w:p>
    <w:p>
      <w:pPr>
        <w:pStyle w:val="ListBullet"/>
      </w:pPr>
      <w:r>
        <w:t>Certificado descargado, emitido o utilizado.</w:t>
      </w:r>
    </w:p>
    <w:p>
      <w:pPr>
        <w:pStyle w:val="ListBullet"/>
      </w:pPr>
      <w:r>
        <w:t>Incumplimiento del reglamento, fraude, suplantación o uso indebido de la cuenta.</w:t>
      </w:r>
    </w:p>
    <w:p>
      <w:pPr>
        <w:pStyle w:val="ListBullet"/>
      </w:pPr>
      <w:r>
        <w:t>Problemas de conectividad, equipo o software del estudiante que no sean atribuibles a NexoAula.</w:t>
      </w:r>
    </w:p>
    <w:p>
      <w:pPr>
        <w:pStyle w:val="ListBullet"/>
      </w:pPr>
      <w:r>
        <w:t>Cambio de opinión sobre el curso después de consumir una parte sustancial del contenido.</w:t>
      </w:r>
    </w:p>
    <w:p>
      <w:pPr>
        <w:pStyle w:val="Heading1"/>
      </w:pPr>
      <w:r>
        <w:t>6. Paquetes, suscripciones, descuentos y becas</w:t>
      </w:r>
    </w:p>
    <w:p>
      <w:r>
        <w:t>En paquetes de varios cursos, el progreso se calcula sobre el conjunto adquirido. Si algún certificado fue emitido o el progreso total alcanzó el 20 %, no procede el reembolso general.</w:t>
      </w:r>
    </w:p>
    <w:p>
      <w:r>
        <w:t>Las suscripciones pueden cancelarse para evitar la siguiente renovación. Los periodos ya iniciados no se reembolsan, salvo cobro duplicado o falla imputable a NexoAula.</w:t>
      </w:r>
    </w:p>
    <w:p>
      <w:r>
        <w:t>El importe reembolsable se calcula sobre el monto realmente pagado después de descuentos. Las becas no generan pagos en efectivo; si existió un copago, solo ese copago puede ser reembolsable.</w:t>
      </w:r>
    </w:p>
    <w:p>
      <w:pPr>
        <w:pStyle w:val="Heading1"/>
      </w:pPr>
      <w:r>
        <w:t>7. Cómo solicitar un reembolso</w:t>
      </w:r>
    </w:p>
    <w:p>
      <w:pPr>
        <w:pStyle w:val="ListBullet"/>
      </w:pPr>
      <w:r>
        <w:t>Enviar la solicitud a pagos@nexoaula.example desde el correo asociado a la cuenta.</w:t>
      </w:r>
    </w:p>
    <w:p>
      <w:pPr>
        <w:pStyle w:val="ListBullet"/>
      </w:pPr>
      <w:r>
        <w:t>Indicar nombre completo, curso, fecha de compra, número de operación y motivo.</w:t>
      </w:r>
    </w:p>
    <w:p>
      <w:pPr>
        <w:pStyle w:val="ListBullet"/>
      </w:pPr>
      <w:r>
        <w:t>Adjuntar el comprobante y, cuando corresponda, evidencia del problema técnico o fuerza mayor.</w:t>
      </w:r>
    </w:p>
    <w:p>
      <w:pPr>
        <w:pStyle w:val="ListBullet"/>
      </w:pPr>
      <w:r>
        <w:t>No iniciar simultáneamente un contracargo bancario mientras la solicitud esté en evaluación.</w:t>
      </w:r>
    </w:p>
    <w:p>
      <w:pPr>
        <w:pStyle w:val="Heading1"/>
      </w:pPr>
      <w:r>
        <w:t>8. Evaluación y plazos</w:t>
      </w:r>
    </w:p>
    <w:p>
      <w:r>
        <w:t>NexoAula confirmará la recepción en un máximo de dos días hábiles y comunicará su decisión en un máximo de diez días hábiles.</w:t>
      </w:r>
    </w:p>
    <w:p>
      <w:r>
        <w:t>Una vez aprobado, el reembolso se ordenará al mismo medio de pago. La acreditación final puede tomar entre cinco y quince días hábiles adicionales según el banco o procesador.</w:t>
      </w:r>
    </w:p>
    <w:p>
      <w:pPr>
        <w:pStyle w:val="Heading1"/>
      </w:pPr>
      <w:r>
        <w:t>9. Moneda, comisiones y tipo de cambio</w:t>
      </w:r>
    </w:p>
    <w:p>
      <w:r>
        <w:t>NexoAula devuelve el monto recibido en la moneda de la transacción. Las diferencias generadas por el tipo de cambio, comisiones del banco emisor o impuestos no recuperables pueden quedar fuera del monto acreditado cuando no hayan sido percibidas por NexoAula.</w:t>
      </w:r>
    </w:p>
    <w:p>
      <w:pPr>
        <w:pStyle w:val="Heading1"/>
      </w:pPr>
      <w:r>
        <w:t>10. Reconsideración</w:t>
      </w:r>
    </w:p>
    <w:p>
      <w:r>
        <w:t>El estudiante puede pedir una reconsideración dentro de los cinco días calendario posteriores a la decisión, escribiendo a pagos@nexoaula.example y aportando información nueva. La reconsideración se resolverá en un máximo de diez días hábiles.</w:t>
      </w:r>
    </w:p>
    <w:p>
      <w:r>
        <w:br w:type="page"/>
      </w:r>
    </w:p>
    <w:p>
      <w:pPr>
        <w:pStyle w:val="Heading1"/>
      </w:pPr>
      <w:r>
        <w:t>Control del documento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tblHeader w:val="true"/>
        </w:trPr>
        <w:tc>
          <w:tcPr>
            <w:tcW w:type="dxa" w:w="4997"/>
            <w:shd w:fill="172554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jc w:val="center"/>
            </w:pPr>
            <w:r>
              <w:rPr>
                <w:rFonts w:ascii="Liberation Sans" w:hAnsi="Liberation Sans"/>
                <w:b/>
                <w:color w:val="FFFFFF"/>
                <w:sz w:val="18"/>
              </w:rPr>
              <w:t>Campo</w:t>
            </w:r>
          </w:p>
        </w:tc>
        <w:tc>
          <w:tcPr>
            <w:tcW w:type="dxa" w:w="4997"/>
            <w:shd w:fill="172554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jc w:val="center"/>
            </w:pPr>
            <w:r>
              <w:rPr>
                <w:rFonts w:ascii="Liberation Sans" w:hAnsi="Liberation Sans"/>
                <w:b/>
                <w:color w:val="FFFFFF"/>
                <w:sz w:val="18"/>
              </w:rPr>
              <w:t>Detalle</w:t>
            </w:r>
          </w:p>
        </w:tc>
      </w:tr>
      <w:tr>
        <w:tc>
          <w:tcPr>
            <w:tcW w:type="dxa" w:w="4997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r>
              <w:rPr>
                <w:rFonts w:ascii="Liberation Sans" w:hAnsi="Liberation Sans"/>
                <w:sz w:val="18"/>
              </w:rPr>
              <w:t>Versión</w:t>
            </w:r>
          </w:p>
        </w:tc>
        <w:tc>
          <w:tcPr>
            <w:tcW w:type="dxa" w:w="4997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jc w:val="left"/>
            </w:pPr>
            <w:r>
              <w:rPr>
                <w:rFonts w:ascii="Liberation Sans" w:hAnsi="Liberation Sans"/>
                <w:sz w:val="18"/>
              </w:rPr>
              <w:t>1.0</w:t>
            </w:r>
          </w:p>
        </w:tc>
      </w:tr>
      <w:tr>
        <w:tc>
          <w:tcPr>
            <w:tcW w:type="dxa" w:w="4997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r>
              <w:rPr>
                <w:rFonts w:ascii="Liberation Sans" w:hAnsi="Liberation Sans"/>
                <w:sz w:val="18"/>
              </w:rPr>
              <w:t>Fecha de vigencia</w:t>
            </w:r>
          </w:p>
        </w:tc>
        <w:tc>
          <w:tcPr>
            <w:tcW w:type="dxa" w:w="4997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jc w:val="left"/>
            </w:pPr>
            <w:r>
              <w:rPr>
                <w:rFonts w:ascii="Liberation Sans" w:hAnsi="Liberation Sans"/>
                <w:sz w:val="18"/>
              </w:rPr>
              <w:t>1 de agosto de 2026</w:t>
            </w:r>
          </w:p>
        </w:tc>
      </w:tr>
      <w:tr>
        <w:tc>
          <w:tcPr>
            <w:tcW w:type="dxa" w:w="4997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r>
              <w:rPr>
                <w:rFonts w:ascii="Liberation Sans" w:hAnsi="Liberation Sans"/>
                <w:sz w:val="18"/>
              </w:rPr>
              <w:t>Responsable</w:t>
            </w:r>
          </w:p>
        </w:tc>
        <w:tc>
          <w:tcPr>
            <w:tcW w:type="dxa" w:w="4997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jc w:val="left"/>
            </w:pPr>
            <w:r>
              <w:rPr>
                <w:rFonts w:ascii="Liberation Sans" w:hAnsi="Liberation Sans"/>
                <w:sz w:val="18"/>
              </w:rPr>
              <w:t>Administración y Servicio al Estudiante</w:t>
            </w:r>
          </w:p>
        </w:tc>
      </w:tr>
      <w:tr>
        <w:tc>
          <w:tcPr>
            <w:tcW w:type="dxa" w:w="4997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r>
              <w:rPr>
                <w:rFonts w:ascii="Liberation Sans" w:hAnsi="Liberation Sans"/>
                <w:sz w:val="18"/>
              </w:rPr>
              <w:t>Soporte</w:t>
            </w:r>
          </w:p>
        </w:tc>
        <w:tc>
          <w:tcPr>
            <w:tcW w:type="dxa" w:w="4997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jc w:val="left"/>
            </w:pPr>
            <w:r>
              <w:rPr>
                <w:rFonts w:ascii="Liberation Sans" w:hAnsi="Liberation Sans"/>
                <w:sz w:val="18"/>
              </w:rPr>
              <w:t>soporte@nexoaula.example</w:t>
            </w:r>
          </w:p>
        </w:tc>
      </w:tr>
      <w:tr>
        <w:tc>
          <w:tcPr>
            <w:tcW w:type="dxa" w:w="4997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r>
              <w:rPr>
                <w:rFonts w:ascii="Liberation Sans" w:hAnsi="Liberation Sans"/>
                <w:sz w:val="18"/>
              </w:rPr>
              <w:t>Revisión recomendada</w:t>
            </w:r>
          </w:p>
        </w:tc>
        <w:tc>
          <w:tcPr>
            <w:tcW w:type="dxa" w:w="4997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jc w:val="left"/>
            </w:pPr>
            <w:r>
              <w:rPr>
                <w:rFonts w:ascii="Liberation Sans" w:hAnsi="Liberation Sans"/>
                <w:sz w:val="18"/>
              </w:rPr>
              <w:t>Anual o ante cambios sustanciales</w:t>
            </w:r>
          </w:p>
        </w:tc>
      </w:tr>
    </w:tbl>
    <w:p/>
    <w:p>
      <w:r>
        <w:rPr>
          <w:i/>
          <w:color w:val="475569"/>
          <w:sz w:val="17"/>
        </w:rPr>
        <w:t>Aviso: documento elaborado para un proyecto académico. Antes de su uso comercial debe ser revisado por asesoría legal y adaptado a la jurisdicción aplicable.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37" w:right="1123" w:bottom="1008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Liberation Sans" w:hAnsi="Liberation Sans"/>
        <w:color w:val="475569"/>
        <w:sz w:val="16"/>
      </w:rPr>
      <w:t xml:space="preserve">Página </w:t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Liberation Sans" w:hAnsi="Liberation Sans"/>
        <w:color w:val="475569"/>
        <w:sz w:val="16"/>
      </w:rPr>
      <w:t>NexoAula  |  Política de Reembolso de Matrículas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Liberation Sans" w:hAnsi="Liberation Sans"/>
      <w:color w:val="1E293B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Liberation Sans" w:hAnsi="Liberation Sans"/>
      <w:b/>
      <w:bCs/>
      <w:color w:val="172554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Liberation Sans" w:hAnsi="Liberation Sans"/>
      <w:b/>
      <w:bCs/>
      <w:color w:val="0891B2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Liberation Sans" w:hAnsi="Liberation Sans"/>
      <w:b/>
      <w:bCs/>
      <w:color w:val="D97706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00" w:line="240" w:lineRule="auto" w:before="200"/>
      <w:contextualSpacing/>
    </w:pPr>
    <w:rPr>
      <w:rFonts w:asciiTheme="majorHAnsi" w:eastAsiaTheme="majorEastAsia" w:hAnsiTheme="majorHAnsi" w:cstheme="majorBidi" w:ascii="Liberation Sans" w:hAnsi="Liberation Sans"/>
      <w:b/>
      <w:color w:val="172554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200" w:after="100"/>
    </w:pPr>
    <w:rPr>
      <w:rFonts w:asciiTheme="majorHAnsi" w:eastAsiaTheme="majorEastAsia" w:hAnsiTheme="majorHAnsi" w:cstheme="majorBidi" w:ascii="Liberation Sans" w:hAnsi="Liberation Sans"/>
      <w:b w:val="0"/>
      <w:i/>
      <w:iCs/>
      <w:color w:val="0891B2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Liberation Sans" w:hAnsi="Liberation Sans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