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6B0FD4"/>
        </w:rPr>
        <w:t>RAPPORT DE VEILLE SECTORIELLE</w:t>
      </w:r>
    </w:p>
    <w:p>
      <w:pPr>
        <w:jc w:val="center"/>
      </w:pPr>
      <w:r>
        <w:rPr>
          <w:b/>
          <w:color w:val="FF2D8A"/>
          <w:sz w:val="26"/>
        </w:rPr>
        <w:t>Avril 2026 — Période couverte : Mars 2026</w:t>
      </w:r>
    </w:p>
    <w:p>
      <w:pPr>
        <w:jc w:val="center"/>
      </w:pPr>
      <w:r>
        <w:rPr>
          <w:color w:val="555555"/>
          <w:sz w:val="20"/>
        </w:rPr>
        <w:t>Destinataire : Direction du CFA  |  Date : 1er avril 2026</w:t>
      </w:r>
    </w:p>
    <w:p/>
    <w:p>
      <w:pPr>
        <w:pStyle w:val="Heading1"/>
      </w:pPr>
      <w:r>
        <w:rPr>
          <w:color w:val="6B0FD4"/>
        </w:rPr>
        <w:t>Résumé Global des Tendances du Mois</w:t>
      </w:r>
    </w:p>
    <w:p>
      <w:r>
        <w:rPr>
          <w:sz w:val="22"/>
        </w:rPr>
        <w:t>Le mois de mars 2026 est marqué par des évolutions réglementaires et financières majeures qui impactent directement le modèle économique et opérationnel des Centres de Formation d'Apprentis (CFA) et des Organismes de Formation (OF). Quatre axes structurants se dégagent :</w:t>
      </w:r>
    </w:p>
    <w:p>
      <w:pPr>
        <w:pStyle w:val="Heading2"/>
      </w:pPr>
      <w:r>
        <w:rPr>
          <w:color w:val="FF2D8A"/>
        </w:rPr>
        <w:t>1. Réforme du financement de l'apprentissage et de la formation continue</w:t>
      </w:r>
    </w:p>
    <w:p>
      <w:r>
        <w:rPr>
          <w:sz w:val="22"/>
        </w:rPr>
        <w:t>Le décret du 8 mars 2026 redéfinit les aides à l'embauche d'apprentis, avec un recentrage sur les TPE/PME et les niveaux de qualification inférieurs (jusqu'à 5 000 € pour les niveaux 4 et inférieurs, et une baisse significative pour les niveaux supérieurs). Parallèlement, la loi de finances 2026 instaure un plafonnement strict du Compte Personnel de Formation (CPF) pour certaines actions, notamment le bilan de compétences (plafonné à 1 600 € avec un délai de carence de 5 ans) et le permis de conduire. Ces mesures traduisent une volonté gouvernementale de rationaliser les dépenses et de cibler les publics prioritaires.</w:t>
      </w:r>
    </w:p>
    <w:p>
      <w:pPr>
        <w:pStyle w:val="Heading2"/>
      </w:pPr>
      <w:r>
        <w:rPr>
          <w:color w:val="FF2D8A"/>
        </w:rPr>
        <w:t>2. Évolution des dispositifs de reconversion professionnelle</w:t>
      </w:r>
    </w:p>
    <w:p>
      <w:r>
        <w:rPr>
          <w:sz w:val="22"/>
        </w:rPr>
        <w:t>La « période de reconversion », entrée en vigueur le 1er février 2026, remplace définitivement les dispositifs Pro-A et TransCo. Ce nouveau cadre, financé par les OPCO avec un forfait de base de 9,15 €/heure et un montant moyen de 5 000 € par parcours, simplifie les démarches pour les mobilités internes et externes. Il offre de nouvelles opportunités commerciales pour les CFA capables de proposer des parcours certifiants adaptés (RNCP, CQP, blocs de compétences).</w:t>
      </w:r>
    </w:p>
    <w:p>
      <w:pPr>
        <w:pStyle w:val="Heading2"/>
      </w:pPr>
      <w:r>
        <w:rPr>
          <w:color w:val="FF2D8A"/>
        </w:rPr>
        <w:t>3. Qualité et réglementation : Qualiopi V9 toujours en vigueur &amp; BPF 2026</w:t>
      </w:r>
    </w:p>
    <w:p>
      <w:r>
        <w:rPr>
          <w:sz w:val="22"/>
        </w:rPr>
        <w:t>L'attente autour de la version 10 du guide de lecture Qualiopi suscite de nombreuses interrogations, bien que les experts rappellent que le socle de la V9 reste la référence actuelle. Le plan qualité de juillet 2025 prévoit un renforcement des exigences pour les CFA (transparence des débouchés, taux de rupture). Par ailleurs, la campagne de transmission du Bilan Pédagogique et Financier (BPF) 2026 est officiellement reportée du 1er avril au 31 mai 2026.</w:t>
      </w:r>
    </w:p>
    <w:p>
      <w:pPr>
        <w:pStyle w:val="Heading2"/>
      </w:pPr>
      <w:r>
        <w:rPr>
          <w:color w:val="FF2D8A"/>
        </w:rPr>
        <w:t>4. Innovation pédagogique et IA : une intégration en accélération</w:t>
      </w:r>
    </w:p>
    <w:p>
      <w:r>
        <w:rPr>
          <w:sz w:val="22"/>
        </w:rPr>
        <w:t>L'intelligence artificielle s'impose comme une réalité opérationnelle. Selon le baromètre ISTF 2026, 33 % des acteurs de la formation intègrent déjà l'IA dans la conception de leurs parcours. Le blended learning (mix présentiel/distanciel) représente désormais 41 % des offres de formation (+4 points vs 2025). Le défi de 2026 réside dans l'engagement des apprenants, avec un tutorat humain qui reste le premier levier de complétion des parcours digitaux.</w:t>
      </w:r>
    </w:p>
    <w:p/>
    <w:p>
      <w:pPr>
        <w:pStyle w:val="Heading1"/>
      </w:pPr>
      <w:r>
        <w:rPr>
          <w:color w:val="6B0FD4"/>
        </w:rPr>
        <w:t>Tableau de Suivi Actionnable</w:t>
      </w:r>
    </w:p>
    <w:p>
      <w:r>
        <w:rPr>
          <w:sz w:val="22"/>
        </w:rPr>
        <w:t>Le tableau ci-dessous synthétise les 8 actualités retenues pour leur pertinence stratégique, opérationnelle ou informative pour un CFA en phase de développement. Chaque ligne propose jusqu'à 3 actions concrètes à mener.</w:t>
      </w:r>
    </w:p>
    <w:p/>
    <w:p>
      <w:pPr>
        <w:pStyle w:val="Heading3"/>
      </w:pPr>
      <w:r>
        <w:rPr>
          <w:color w:val="6B0FD4"/>
        </w:rPr>
        <w:t>[Formation / Apprentissage] Aides à l'apprentissage en 2026 : ce que votre entreprise doit savoir</w:t>
      </w:r>
    </w:p>
    <w:tbl>
      <w:tblPr>
        <w:tblStyle w:val="TableGrid"/>
        <w:tblW w:type="auto" w:w="0"/>
        <w:jc w:val="left"/>
        <w:tblLook w:firstColumn="1" w:firstRow="1" w:lastColumn="0" w:lastRow="0" w:noHBand="0" w:noVBand="1" w:val="04A0"/>
      </w:tblPr>
      <w:tblGrid>
        <w:gridCol w:w="4703"/>
        <w:gridCol w:w="4703"/>
      </w:tblGrid>
      <w:tr>
        <w:tc>
          <w:tcPr>
            <w:tcW w:type="dxa" w:w="4703"/>
          </w:tcPr>
          <w:p>
            <w:r/>
            <w:r>
              <w:rPr>
                <w:b/>
                <w:sz w:val="20"/>
              </w:rPr>
              <w:t xml:space="preserve">Source : </w:t>
            </w:r>
            <w:r>
              <w:rPr>
                <w:sz w:val="20"/>
              </w:rPr>
              <w:t>Afpa.fr — 26 mars 2026</w:t>
            </w:r>
          </w:p>
        </w:tc>
        <w:tc>
          <w:tcPr>
            <w:tcW w:type="dxa" w:w="4703"/>
          </w:tcPr>
          <w:p>
            <w:r/>
            <w:r>
              <w:rPr>
                <w:b/>
                <w:sz w:val="20"/>
              </w:rPr>
              <w:t xml:space="preserve">Lien : </w:t>
            </w:r>
            <w:r>
              <w:rPr>
                <w:sz w:val="20"/>
              </w:rPr>
              <w:t>https://www.afpa.fr/actualites/aides-apprentissage-2026-ce-que-votre-entreprise-doit-savoir</w:t>
            </w:r>
          </w:p>
        </w:tc>
      </w:tr>
      <w:tr>
        <w:tc>
          <w:tcPr>
            <w:tcW w:type="dxa" w:w="9406"/>
            <w:gridSpan w:val="2"/>
          </w:tcPr>
          <w:p>
            <w:r/>
            <w:r>
              <w:rPr>
                <w:b/>
                <w:sz w:val="20"/>
              </w:rPr>
              <w:t xml:space="preserve">Résumé : </w:t>
            </w:r>
            <w:r>
              <w:rPr>
                <w:sz w:val="20"/>
              </w:rPr>
              <w:t>Décret du 8 mars 2026 : aides recentrées sur les TPE/PME. Jusqu'à 5 000 € pour les niveaux ≤ Bac. Baisse pour les grandes entreprises et niveaux supérieurs (Bac+3 à +5 : 2 000 € en PME, 750 € en grande entreprise). Aide handicap : 6 000 € max.</w:t>
            </w:r>
          </w:p>
        </w:tc>
      </w:tr>
      <w:tr>
        <w:tc>
          <w:tcPr>
            <w:tcW w:type="dxa" w:w="4703"/>
          </w:tcPr>
          <w:p>
            <w:r/>
            <w:r>
              <w:rPr>
                <w:b/>
                <w:sz w:val="20"/>
              </w:rPr>
              <w:t xml:space="preserve">Importance : </w:t>
            </w:r>
            <w:r>
              <w:rPr>
                <w:b/>
                <w:color w:val="6B0FD4"/>
                <w:sz w:val="20"/>
              </w:rPr>
              <w:t>STRATÉGIQUE</w:t>
            </w:r>
          </w:p>
        </w:tc>
        <w:tc>
          <w:tcPr>
            <w:tcW w:type="dxa" w:w="4703"/>
          </w:tcPr>
          <w:p>
            <w:r/>
            <w:r>
              <w:rPr>
                <w:b/>
                <w:sz w:val="20"/>
              </w:rPr>
              <w:t xml:space="preserve">Statut : </w:t>
            </w:r>
            <w:r>
              <w:rPr>
                <w:sz w:val="20"/>
              </w:rPr>
              <w:t>À faire</w:t>
            </w:r>
          </w:p>
        </w:tc>
      </w:tr>
      <w:tr>
        <w:tc>
          <w:tcPr>
            <w:tcW w:type="dxa" w:w="9406"/>
            <w:gridSpan w:val="2"/>
          </w:tcPr>
          <w:p>
            <w:r/>
            <w:r>
              <w:rPr>
                <w:b/>
                <w:sz w:val="20"/>
              </w:rPr>
              <w:t>Actions à mener :</w:t>
              <w:br/>
            </w:r>
            <w:r>
              <w:rPr>
                <w:sz w:val="20"/>
              </w:rPr>
              <w:t>1. Mettre à jour les argumentaires commerciaux pour les entreprises partenaires.</w:t>
              <w:br/>
              <w:t>2. Cibler la prospection sur les TPE/PME pour les niveaux 4 et 5.</w:t>
              <w:br/>
              <w:t>3. Informer les équipes d'admission des nouveaux barèmes.</w:t>
            </w:r>
          </w:p>
        </w:tc>
      </w:tr>
    </w:tbl>
    <w:p/>
    <w:p>
      <w:pPr>
        <w:pStyle w:val="Heading3"/>
      </w:pPr>
      <w:r>
        <w:rPr>
          <w:color w:val="FF2D8A"/>
        </w:rPr>
        <w:t>[Bilan de compétences / CPF] Loi de finances 2026 : les nouveautés de la formation professionnelle</w:t>
      </w:r>
    </w:p>
    <w:tbl>
      <w:tblPr>
        <w:tblStyle w:val="TableGrid"/>
        <w:tblW w:type="auto" w:w="0"/>
        <w:jc w:val="left"/>
        <w:tblLook w:firstColumn="1" w:firstRow="1" w:lastColumn="0" w:lastRow="0" w:noHBand="0" w:noVBand="1" w:val="04A0"/>
      </w:tblPr>
      <w:tblGrid>
        <w:gridCol w:w="4703"/>
        <w:gridCol w:w="4703"/>
      </w:tblGrid>
      <w:tr>
        <w:tc>
          <w:tcPr>
            <w:tcW w:type="dxa" w:w="4703"/>
          </w:tcPr>
          <w:p>
            <w:r/>
            <w:r>
              <w:rPr>
                <w:b/>
                <w:sz w:val="20"/>
              </w:rPr>
              <w:t xml:space="preserve">Source : </w:t>
            </w:r>
            <w:r>
              <w:rPr>
                <w:sz w:val="20"/>
              </w:rPr>
              <w:t>Via Compétences — 3 mars 2026</w:t>
            </w:r>
          </w:p>
        </w:tc>
        <w:tc>
          <w:tcPr>
            <w:tcW w:type="dxa" w:w="4703"/>
          </w:tcPr>
          <w:p>
            <w:r/>
            <w:r>
              <w:rPr>
                <w:b/>
                <w:sz w:val="20"/>
              </w:rPr>
              <w:t xml:space="preserve">Lien : </w:t>
            </w:r>
            <w:r>
              <w:rPr>
                <w:sz w:val="20"/>
              </w:rPr>
              <w:t>https://www.via-competences.fr/actualites/loi-de-finances-2026-les-nouveautes-de-la-formation-professionnelle</w:t>
            </w:r>
          </w:p>
        </w:tc>
      </w:tr>
      <w:tr>
        <w:tc>
          <w:tcPr>
            <w:tcW w:type="dxa" w:w="9406"/>
            <w:gridSpan w:val="2"/>
          </w:tcPr>
          <w:p>
            <w:r/>
            <w:r>
              <w:rPr>
                <w:b/>
                <w:sz w:val="20"/>
              </w:rPr>
              <w:t xml:space="preserve">Résumé : </w:t>
            </w:r>
            <w:r>
              <w:rPr>
                <w:sz w:val="20"/>
              </w:rPr>
              <w:t>Plafonnement du CPF en vigueur depuis le 26 février 2026 : 1 600 € max pour les bilans de compétences avec 5 ans de carence. 1 500 € pour les certifications RS. Budget CPF France Compétences : 1,31 Md€ en 2026 (vs 1,96 Md€ en 2025).</w:t>
            </w:r>
          </w:p>
        </w:tc>
      </w:tr>
      <w:tr>
        <w:tc>
          <w:tcPr>
            <w:tcW w:type="dxa" w:w="4703"/>
          </w:tcPr>
          <w:p>
            <w:r/>
            <w:r>
              <w:rPr>
                <w:b/>
                <w:sz w:val="20"/>
              </w:rPr>
              <w:t xml:space="preserve">Importance : </w:t>
            </w:r>
            <w:r>
              <w:rPr>
                <w:b/>
                <w:color w:val="FF2D8A"/>
                <w:sz w:val="20"/>
              </w:rPr>
              <w:t>OPÉRATIONNEL</w:t>
            </w:r>
          </w:p>
        </w:tc>
        <w:tc>
          <w:tcPr>
            <w:tcW w:type="dxa" w:w="4703"/>
          </w:tcPr>
          <w:p>
            <w:r/>
            <w:r>
              <w:rPr>
                <w:b/>
                <w:sz w:val="20"/>
              </w:rPr>
              <w:t xml:space="preserve">Statut : </w:t>
            </w:r>
            <w:r>
              <w:rPr>
                <w:sz w:val="20"/>
              </w:rPr>
              <w:t>À faire</w:t>
            </w:r>
          </w:p>
        </w:tc>
      </w:tr>
      <w:tr>
        <w:tc>
          <w:tcPr>
            <w:tcW w:type="dxa" w:w="9406"/>
            <w:gridSpan w:val="2"/>
          </w:tcPr>
          <w:p>
            <w:r/>
            <w:r>
              <w:rPr>
                <w:b/>
                <w:sz w:val="20"/>
              </w:rPr>
              <w:t>Actions à mener :</w:t>
              <w:br/>
            </w:r>
            <w:r>
              <w:rPr>
                <w:sz w:val="20"/>
              </w:rPr>
              <w:t>1. Ajuster la tarification des bilans de compétences pour s'aligner sur le plafond de 1 600 €.</w:t>
              <w:br/>
              <w:t>2. Vérifier l'éligibilité des prospects (délai de carence de 5 ans).</w:t>
            </w:r>
          </w:p>
        </w:tc>
      </w:tr>
    </w:tbl>
    <w:p/>
    <w:p>
      <w:pPr>
        <w:pStyle w:val="Heading3"/>
      </w:pPr>
      <w:r>
        <w:rPr>
          <w:color w:val="6B0FD4"/>
        </w:rPr>
        <w:t>[Évolution professionnelle] Période de reconversion professionnelle : ce que les OF doivent savoir</w:t>
      </w:r>
    </w:p>
    <w:tbl>
      <w:tblPr>
        <w:tblStyle w:val="TableGrid"/>
        <w:tblW w:type="auto" w:w="0"/>
        <w:jc w:val="left"/>
        <w:tblLook w:firstColumn="1" w:firstRow="1" w:lastColumn="0" w:lastRow="0" w:noHBand="0" w:noVBand="1" w:val="04A0"/>
      </w:tblPr>
      <w:tblGrid>
        <w:gridCol w:w="4703"/>
        <w:gridCol w:w="4703"/>
      </w:tblGrid>
      <w:tr>
        <w:tc>
          <w:tcPr>
            <w:tcW w:type="dxa" w:w="4703"/>
          </w:tcPr>
          <w:p>
            <w:r/>
            <w:r>
              <w:rPr>
                <w:b/>
                <w:sz w:val="20"/>
              </w:rPr>
              <w:t xml:space="preserve">Source : </w:t>
            </w:r>
            <w:r>
              <w:rPr>
                <w:sz w:val="20"/>
              </w:rPr>
              <w:t>Planor.fr — 24 mars 2026</w:t>
            </w:r>
          </w:p>
        </w:tc>
        <w:tc>
          <w:tcPr>
            <w:tcW w:type="dxa" w:w="4703"/>
          </w:tcPr>
          <w:p>
            <w:r/>
            <w:r>
              <w:rPr>
                <w:b/>
                <w:sz w:val="20"/>
              </w:rPr>
              <w:t xml:space="preserve">Lien : </w:t>
            </w:r>
            <w:r>
              <w:rPr>
                <w:sz w:val="20"/>
              </w:rPr>
              <w:t>https://planor.fr/blog/periode-reconversion-professionnelle-organismes-formation-doivent-savoir-2026</w:t>
            </w:r>
          </w:p>
        </w:tc>
      </w:tr>
      <w:tr>
        <w:tc>
          <w:tcPr>
            <w:tcW w:type="dxa" w:w="9406"/>
            <w:gridSpan w:val="2"/>
          </w:tcPr>
          <w:p>
            <w:r/>
            <w:r>
              <w:rPr>
                <w:b/>
                <w:sz w:val="20"/>
              </w:rPr>
              <w:t xml:space="preserve">Résumé : </w:t>
            </w:r>
            <w:r>
              <w:rPr>
                <w:sz w:val="20"/>
              </w:rPr>
              <w:t>Entrée en vigueur du nouveau dispositif (loi du 24 oct. 2025) remplaçant Pro-A et TransCo. Financement OPCO : forfait 9,15 €/h, montant moyen 5 000 €. Ouvert à tous les salariés, sans condition d'âge ni de niveau. Formations RNCP, CQP, blocs de compétences et VAE éligibles.</w:t>
            </w:r>
          </w:p>
        </w:tc>
      </w:tr>
      <w:tr>
        <w:tc>
          <w:tcPr>
            <w:tcW w:type="dxa" w:w="4703"/>
          </w:tcPr>
          <w:p>
            <w:r/>
            <w:r>
              <w:rPr>
                <w:b/>
                <w:sz w:val="20"/>
              </w:rPr>
              <w:t xml:space="preserve">Importance : </w:t>
            </w:r>
            <w:r>
              <w:rPr>
                <w:b/>
                <w:color w:val="6B0FD4"/>
                <w:sz w:val="20"/>
              </w:rPr>
              <w:t>STRATÉGIQUE</w:t>
            </w:r>
          </w:p>
        </w:tc>
        <w:tc>
          <w:tcPr>
            <w:tcW w:type="dxa" w:w="4703"/>
          </w:tcPr>
          <w:p>
            <w:r/>
            <w:r>
              <w:rPr>
                <w:b/>
                <w:sz w:val="20"/>
              </w:rPr>
              <w:t xml:space="preserve">Statut : </w:t>
            </w:r>
            <w:r>
              <w:rPr>
                <w:sz w:val="20"/>
              </w:rPr>
              <w:t>À faire</w:t>
            </w:r>
          </w:p>
        </w:tc>
      </w:tr>
      <w:tr>
        <w:tc>
          <w:tcPr>
            <w:tcW w:type="dxa" w:w="9406"/>
            <w:gridSpan w:val="2"/>
          </w:tcPr>
          <w:p>
            <w:r/>
            <w:r>
              <w:rPr>
                <w:b/>
                <w:sz w:val="20"/>
              </w:rPr>
              <w:t>Actions à mener :</w:t>
              <w:br/>
            </w:r>
            <w:r>
              <w:rPr>
                <w:sz w:val="20"/>
              </w:rPr>
              <w:t>1. Identifier les formations certifiantes du CFA éligibles au dispositif.</w:t>
              <w:br/>
              <w:t>2. Contacter les OPCO partenaires pour référencement dans leurs catalogues.</w:t>
              <w:br/>
              <w:t>3. Créer une offre spécifique « Reconversion » pour les entreprises du territoire.</w:t>
            </w:r>
          </w:p>
        </w:tc>
      </w:tr>
    </w:tbl>
    <w:p/>
    <w:p>
      <w:pPr>
        <w:pStyle w:val="Heading3"/>
      </w:pPr>
      <w:r>
        <w:rPr>
          <w:color w:val="444444"/>
        </w:rPr>
        <w:t>[Qualiopi / Réglementation] Qualiopi V10 : ce qui se passe vraiment (et ce qui ne se passe pas)</w:t>
      </w:r>
    </w:p>
    <w:tbl>
      <w:tblPr>
        <w:tblStyle w:val="TableGrid"/>
        <w:tblW w:type="auto" w:w="0"/>
        <w:jc w:val="left"/>
        <w:tblLook w:firstColumn="1" w:firstRow="1" w:lastColumn="0" w:lastRow="0" w:noHBand="0" w:noVBand="1" w:val="04A0"/>
      </w:tblPr>
      <w:tblGrid>
        <w:gridCol w:w="4703"/>
        <w:gridCol w:w="4703"/>
      </w:tblGrid>
      <w:tr>
        <w:tc>
          <w:tcPr>
            <w:tcW w:type="dxa" w:w="4703"/>
          </w:tcPr>
          <w:p>
            <w:r/>
            <w:r>
              <w:rPr>
                <w:b/>
                <w:sz w:val="20"/>
              </w:rPr>
              <w:t xml:space="preserve">Source : </w:t>
            </w:r>
            <w:r>
              <w:rPr>
                <w:sz w:val="20"/>
              </w:rPr>
              <w:t>OGMA Insight — 14 mars 2026</w:t>
            </w:r>
          </w:p>
        </w:tc>
        <w:tc>
          <w:tcPr>
            <w:tcW w:type="dxa" w:w="4703"/>
          </w:tcPr>
          <w:p>
            <w:r/>
            <w:r>
              <w:rPr>
                <w:b/>
                <w:sz w:val="20"/>
              </w:rPr>
              <w:t xml:space="preserve">Lien : </w:t>
            </w:r>
            <w:r>
              <w:rPr>
                <w:sz w:val="20"/>
              </w:rPr>
              <w:t>https://ogma-insight.fr/blog/2026/03/14/qualiopi-v10-ce-qui-se-passe-vraiment-et-ce-qui-ne-se-passe-pas/</w:t>
            </w:r>
          </w:p>
        </w:tc>
      </w:tr>
      <w:tr>
        <w:tc>
          <w:tcPr>
            <w:tcW w:type="dxa" w:w="9406"/>
            <w:gridSpan w:val="2"/>
          </w:tcPr>
          <w:p>
            <w:r/>
            <w:r>
              <w:rPr>
                <w:b/>
                <w:sz w:val="20"/>
              </w:rPr>
              <w:t xml:space="preserve">Résumé : </w:t>
            </w:r>
            <w:r>
              <w:rPr>
                <w:sz w:val="20"/>
              </w:rPr>
              <w:t>La V10 du guide de lecture Qualiopi n'est pas encore publiée. Le plan qualité de juillet 2025 prévoit un renforcement des contrôles pour les CFA (transparence des débouchés, taux de rupture, clauses abusives). La V9 reste la référence. Nouveau portefeuille ministériel (Sabrina Agresti-Roubache, nommée le 26 février 2026).</w:t>
            </w:r>
          </w:p>
        </w:tc>
      </w:tr>
      <w:tr>
        <w:tc>
          <w:tcPr>
            <w:tcW w:type="dxa" w:w="4703"/>
          </w:tcPr>
          <w:p>
            <w:r/>
            <w:r>
              <w:rPr>
                <w:b/>
                <w:sz w:val="20"/>
              </w:rPr>
              <w:t xml:space="preserve">Importance : </w:t>
            </w:r>
            <w:r>
              <w:rPr>
                <w:b/>
                <w:color w:val="444444"/>
                <w:sz w:val="20"/>
              </w:rPr>
              <w:t>INFORMATIF</w:t>
            </w:r>
          </w:p>
        </w:tc>
        <w:tc>
          <w:tcPr>
            <w:tcW w:type="dxa" w:w="4703"/>
          </w:tcPr>
          <w:p>
            <w:r/>
            <w:r>
              <w:rPr>
                <w:b/>
                <w:sz w:val="20"/>
              </w:rPr>
              <w:t xml:space="preserve">Statut : </w:t>
            </w:r>
            <w:r>
              <w:rPr>
                <w:sz w:val="20"/>
              </w:rPr>
              <w:t>À faire</w:t>
            </w:r>
          </w:p>
        </w:tc>
      </w:tr>
      <w:tr>
        <w:tc>
          <w:tcPr>
            <w:tcW w:type="dxa" w:w="9406"/>
            <w:gridSpan w:val="2"/>
          </w:tcPr>
          <w:p>
            <w:r/>
            <w:r>
              <w:rPr>
                <w:b/>
                <w:sz w:val="20"/>
              </w:rPr>
              <w:t>Actions à mener :</w:t>
              <w:br/>
            </w:r>
            <w:r>
              <w:rPr>
                <w:sz w:val="20"/>
              </w:rPr>
              <w:t>1. Consolider la conformité sur la V9 (mise à jour documentaire).</w:t>
              <w:br/>
              <w:t>2. Améliorer le suivi des indicateurs spécifiques CFA (taux d'insertion, taux de rupture).</w:t>
            </w:r>
          </w:p>
        </w:tc>
      </w:tr>
    </w:tbl>
    <w:p/>
    <w:p>
      <w:pPr>
        <w:pStyle w:val="Heading3"/>
      </w:pPr>
      <w:r>
        <w:rPr>
          <w:color w:val="FF2D8A"/>
        </w:rPr>
        <w:t>[Développement d'activité] Transmission du BPF : report au 31 mai 2026</w:t>
      </w:r>
    </w:p>
    <w:tbl>
      <w:tblPr>
        <w:tblStyle w:val="TableGrid"/>
        <w:tblW w:type="auto" w:w="0"/>
        <w:jc w:val="left"/>
        <w:tblLook w:firstColumn="1" w:firstRow="1" w:lastColumn="0" w:lastRow="0" w:noHBand="0" w:noVBand="1" w:val="04A0"/>
      </w:tblPr>
      <w:tblGrid>
        <w:gridCol w:w="4703"/>
        <w:gridCol w:w="4703"/>
      </w:tblGrid>
      <w:tr>
        <w:tc>
          <w:tcPr>
            <w:tcW w:type="dxa" w:w="4703"/>
          </w:tcPr>
          <w:p>
            <w:r/>
            <w:r>
              <w:rPr>
                <w:b/>
                <w:sz w:val="20"/>
              </w:rPr>
              <w:t xml:space="preserve">Source : </w:t>
            </w:r>
            <w:r>
              <w:rPr>
                <w:sz w:val="20"/>
              </w:rPr>
              <w:t>Centre Inffo — 3 mars 2026</w:t>
            </w:r>
          </w:p>
        </w:tc>
        <w:tc>
          <w:tcPr>
            <w:tcW w:type="dxa" w:w="4703"/>
          </w:tcPr>
          <w:p>
            <w:r/>
            <w:r>
              <w:rPr>
                <w:b/>
                <w:sz w:val="20"/>
              </w:rPr>
              <w:t xml:space="preserve">Lien : </w:t>
            </w:r>
            <w:r>
              <w:rPr>
                <w:sz w:val="20"/>
              </w:rPr>
              <w:t>https://www.centre-inffo.fr/site-droit-formation/actualites-droit/transmission-du-bpf-report-au-31-mai-2026</w:t>
            </w:r>
          </w:p>
        </w:tc>
      </w:tr>
      <w:tr>
        <w:tc>
          <w:tcPr>
            <w:tcW w:type="dxa" w:w="9406"/>
            <w:gridSpan w:val="2"/>
          </w:tcPr>
          <w:p>
            <w:r/>
            <w:r>
              <w:rPr>
                <w:b/>
                <w:sz w:val="20"/>
              </w:rPr>
              <w:t xml:space="preserve">Résumé : </w:t>
            </w:r>
            <w:r>
              <w:rPr>
                <w:sz w:val="20"/>
              </w:rPr>
              <w:t>La campagne de déclaration du Bilan Pédagogique et Financier (BPF) 2026 est ouverte du 1er avril au 31 mai 2026 sur la plateforme MAF (monactiviteformation.emploi.gouv.fr). À défaut de transmission, la déclaration d'activité devient caduque.</w:t>
            </w:r>
          </w:p>
        </w:tc>
      </w:tr>
      <w:tr>
        <w:tc>
          <w:tcPr>
            <w:tcW w:type="dxa" w:w="4703"/>
          </w:tcPr>
          <w:p>
            <w:r/>
            <w:r>
              <w:rPr>
                <w:b/>
                <w:sz w:val="20"/>
              </w:rPr>
              <w:t xml:space="preserve">Importance : </w:t>
            </w:r>
            <w:r>
              <w:rPr>
                <w:b/>
                <w:color w:val="FF2D8A"/>
                <w:sz w:val="20"/>
              </w:rPr>
              <w:t>OPÉRATIONNEL</w:t>
            </w:r>
          </w:p>
        </w:tc>
        <w:tc>
          <w:tcPr>
            <w:tcW w:type="dxa" w:w="4703"/>
          </w:tcPr>
          <w:p>
            <w:r/>
            <w:r>
              <w:rPr>
                <w:b/>
                <w:sz w:val="20"/>
              </w:rPr>
              <w:t xml:space="preserve">Statut : </w:t>
            </w:r>
            <w:r>
              <w:rPr>
                <w:sz w:val="20"/>
              </w:rPr>
              <w:t>À faire</w:t>
            </w:r>
          </w:p>
        </w:tc>
      </w:tr>
      <w:tr>
        <w:tc>
          <w:tcPr>
            <w:tcW w:type="dxa" w:w="9406"/>
            <w:gridSpan w:val="2"/>
          </w:tcPr>
          <w:p>
            <w:r/>
            <w:r>
              <w:rPr>
                <w:b/>
                <w:sz w:val="20"/>
              </w:rPr>
              <w:t>Actions à mener :</w:t>
              <w:br/>
            </w:r>
            <w:r>
              <w:rPr>
                <w:sz w:val="20"/>
              </w:rPr>
              <w:t>1. Planifier la collecte des données comptables et pédagogiques 2025.</w:t>
              <w:br/>
              <w:t>2. Saisir et valider le BPF sur le portail MAF avant le 31 mai 2026.</w:t>
            </w:r>
          </w:p>
        </w:tc>
      </w:tr>
    </w:tbl>
    <w:p/>
    <w:p>
      <w:pPr>
        <w:pStyle w:val="Heading3"/>
      </w:pPr>
      <w:r>
        <w:rPr>
          <w:color w:val="6B0FD4"/>
        </w:rPr>
        <w:t>[IA pour formateurs] Les Chiffres Clés du digital learning by l'ISTF : édition 2026</w:t>
      </w:r>
    </w:p>
    <w:tbl>
      <w:tblPr>
        <w:tblStyle w:val="TableGrid"/>
        <w:tblW w:type="auto" w:w="0"/>
        <w:jc w:val="left"/>
        <w:tblLook w:firstColumn="1" w:firstRow="1" w:lastColumn="0" w:lastRow="0" w:noHBand="0" w:noVBand="1" w:val="04A0"/>
      </w:tblPr>
      <w:tblGrid>
        <w:gridCol w:w="4703"/>
        <w:gridCol w:w="4703"/>
      </w:tblGrid>
      <w:tr>
        <w:tc>
          <w:tcPr>
            <w:tcW w:type="dxa" w:w="4703"/>
          </w:tcPr>
          <w:p>
            <w:r/>
            <w:r>
              <w:rPr>
                <w:b/>
                <w:sz w:val="20"/>
              </w:rPr>
              <w:t xml:space="preserve">Source : </w:t>
            </w:r>
            <w:r>
              <w:rPr>
                <w:sz w:val="20"/>
              </w:rPr>
              <w:t>ISTF — 18 mars 2026</w:t>
            </w:r>
          </w:p>
        </w:tc>
        <w:tc>
          <w:tcPr>
            <w:tcW w:type="dxa" w:w="4703"/>
          </w:tcPr>
          <w:p>
            <w:r/>
            <w:r>
              <w:rPr>
                <w:b/>
                <w:sz w:val="20"/>
              </w:rPr>
              <w:t xml:space="preserve">Lien : </w:t>
            </w:r>
            <w:r>
              <w:rPr>
                <w:sz w:val="20"/>
              </w:rPr>
              <w:t>https://www.istf-formation.fr/blog/les-chiffres-cles-du-digital-learning-by-listf-edition-2026-2/</w:t>
            </w:r>
          </w:p>
        </w:tc>
      </w:tr>
      <w:tr>
        <w:tc>
          <w:tcPr>
            <w:tcW w:type="dxa" w:w="9406"/>
            <w:gridSpan w:val="2"/>
          </w:tcPr>
          <w:p>
            <w:r/>
            <w:r>
              <w:rPr>
                <w:b/>
                <w:sz w:val="20"/>
              </w:rPr>
              <w:t xml:space="preserve">Résumé : </w:t>
            </w:r>
            <w:r>
              <w:rPr>
                <w:sz w:val="20"/>
              </w:rPr>
              <w:t>33 % des OF utilisent l'IA dans la conception de formations. Le blended learning représente 41 % des offres (+4 pts vs 2025). La présence d'un tuteur multiplie par 10 le taux de complétion (51 % vs 5 % sans tuteur). Priorité n°1 : l'engagement apprenant.</w:t>
            </w:r>
          </w:p>
        </w:tc>
      </w:tr>
      <w:tr>
        <w:tc>
          <w:tcPr>
            <w:tcW w:type="dxa" w:w="4703"/>
          </w:tcPr>
          <w:p>
            <w:r/>
            <w:r>
              <w:rPr>
                <w:b/>
                <w:sz w:val="20"/>
              </w:rPr>
              <w:t xml:space="preserve">Importance : </w:t>
            </w:r>
            <w:r>
              <w:rPr>
                <w:b/>
                <w:color w:val="6B0FD4"/>
                <w:sz w:val="20"/>
              </w:rPr>
              <w:t>STRATÉGIQUE</w:t>
            </w:r>
          </w:p>
        </w:tc>
        <w:tc>
          <w:tcPr>
            <w:tcW w:type="dxa" w:w="4703"/>
          </w:tcPr>
          <w:p>
            <w:r/>
            <w:r>
              <w:rPr>
                <w:b/>
                <w:sz w:val="20"/>
              </w:rPr>
              <w:t xml:space="preserve">Statut : </w:t>
            </w:r>
            <w:r>
              <w:rPr>
                <w:sz w:val="20"/>
              </w:rPr>
              <w:t>À faire</w:t>
            </w:r>
          </w:p>
        </w:tc>
      </w:tr>
      <w:tr>
        <w:tc>
          <w:tcPr>
            <w:tcW w:type="dxa" w:w="9406"/>
            <w:gridSpan w:val="2"/>
          </w:tcPr>
          <w:p>
            <w:r/>
            <w:r>
              <w:rPr>
                <w:b/>
                <w:sz w:val="20"/>
              </w:rPr>
              <w:t>Actions à mener :</w:t>
              <w:br/>
            </w:r>
            <w:r>
              <w:rPr>
                <w:sz w:val="20"/>
              </w:rPr>
              <w:t>1. Former l'équipe pédagogique aux outils d'IA générative (conception de cours).</w:t>
              <w:br/>
              <w:t>2. Renforcer la part de distanciel tutoré dans les parcours pour optimiser les coûts.</w:t>
            </w:r>
          </w:p>
        </w:tc>
      </w:tr>
    </w:tbl>
    <w:p/>
    <w:p>
      <w:pPr>
        <w:pStyle w:val="Heading3"/>
      </w:pPr>
      <w:r>
        <w:rPr>
          <w:color w:val="444444"/>
        </w:rPr>
        <w:t>[VAE] La Région Centre-Val de Loire lance une expérimentation VAE pour les primo-arrivants</w:t>
      </w:r>
    </w:p>
    <w:tbl>
      <w:tblPr>
        <w:tblStyle w:val="TableGrid"/>
        <w:tblW w:type="auto" w:w="0"/>
        <w:jc w:val="left"/>
        <w:tblLook w:firstColumn="1" w:firstRow="1" w:lastColumn="0" w:lastRow="0" w:noHBand="0" w:noVBand="1" w:val="04A0"/>
      </w:tblPr>
      <w:tblGrid>
        <w:gridCol w:w="4703"/>
        <w:gridCol w:w="4703"/>
      </w:tblGrid>
      <w:tr>
        <w:tc>
          <w:tcPr>
            <w:tcW w:type="dxa" w:w="4703"/>
          </w:tcPr>
          <w:p>
            <w:r/>
            <w:r>
              <w:rPr>
                <w:b/>
                <w:sz w:val="20"/>
              </w:rPr>
              <w:t xml:space="preserve">Source : </w:t>
            </w:r>
            <w:r>
              <w:rPr>
                <w:sz w:val="20"/>
              </w:rPr>
              <w:t>Centre Inffo — 2 mars 2026</w:t>
            </w:r>
          </w:p>
        </w:tc>
        <w:tc>
          <w:tcPr>
            <w:tcW w:type="dxa" w:w="4703"/>
          </w:tcPr>
          <w:p>
            <w:r/>
            <w:r>
              <w:rPr>
                <w:b/>
                <w:sz w:val="20"/>
              </w:rPr>
              <w:t xml:space="preserve">Lien : </w:t>
            </w:r>
            <w:r>
              <w:rPr>
                <w:sz w:val="20"/>
              </w:rPr>
              <w:t>https://www.centre-inffo.fr/site-centre-inffo/actualites-centre-inffo/le-quotidien-de-la-formation-actualite-formation-professionnelle-apprentissage/actualites-2026/la-region-centre-val-de-loire-lance-une-experimentation-sur-la-vae-pour-les-primo-arrivants</w:t>
            </w:r>
          </w:p>
        </w:tc>
      </w:tr>
      <w:tr>
        <w:tc>
          <w:tcPr>
            <w:tcW w:type="dxa" w:w="9406"/>
            <w:gridSpan w:val="2"/>
          </w:tcPr>
          <w:p>
            <w:r/>
            <w:r>
              <w:rPr>
                <w:b/>
                <w:sz w:val="20"/>
              </w:rPr>
              <w:t xml:space="preserve">Résumé : </w:t>
            </w:r>
            <w:r>
              <w:rPr>
                <w:sz w:val="20"/>
              </w:rPr>
              <w:t>Expérimentation « Expérience sans frontières » pour faciliter l'accès à la VAE des publics primo-arrivants. Parcours individualisés et modulaires jusqu'à 25 mois. Piloté par l'IFPRA. Financement via abondement CPF par la Région et France Travail.</w:t>
            </w:r>
          </w:p>
        </w:tc>
      </w:tr>
      <w:tr>
        <w:tc>
          <w:tcPr>
            <w:tcW w:type="dxa" w:w="4703"/>
          </w:tcPr>
          <w:p>
            <w:r/>
            <w:r>
              <w:rPr>
                <w:b/>
                <w:sz w:val="20"/>
              </w:rPr>
              <w:t xml:space="preserve">Importance : </w:t>
            </w:r>
            <w:r>
              <w:rPr>
                <w:b/>
                <w:color w:val="444444"/>
                <w:sz w:val="20"/>
              </w:rPr>
              <w:t>INFORMATIF</w:t>
            </w:r>
          </w:p>
        </w:tc>
        <w:tc>
          <w:tcPr>
            <w:tcW w:type="dxa" w:w="4703"/>
          </w:tcPr>
          <w:p>
            <w:r/>
            <w:r>
              <w:rPr>
                <w:b/>
                <w:sz w:val="20"/>
              </w:rPr>
              <w:t xml:space="preserve">Statut : </w:t>
            </w:r>
            <w:r>
              <w:rPr>
                <w:sz w:val="20"/>
              </w:rPr>
              <w:t>À faire</w:t>
            </w:r>
          </w:p>
        </w:tc>
      </w:tr>
      <w:tr>
        <w:tc>
          <w:tcPr>
            <w:tcW w:type="dxa" w:w="9406"/>
            <w:gridSpan w:val="2"/>
          </w:tcPr>
          <w:p>
            <w:r/>
            <w:r>
              <w:rPr>
                <w:b/>
                <w:sz w:val="20"/>
              </w:rPr>
              <w:t>Actions à mener :</w:t>
              <w:br/>
            </w:r>
            <w:r>
              <w:rPr>
                <w:sz w:val="20"/>
              </w:rPr>
              <w:t>1. Surveiller les appels à projets régionaux similaires sur notre territoire.</w:t>
              <w:br/>
              <w:t>2. Adapter l'accompagnement VAE pour les publics spécifiques (primo-arrivants, publics éloignés).</w:t>
            </w:r>
          </w:p>
        </w:tc>
      </w:tr>
    </w:tbl>
    <w:p/>
    <w:p>
      <w:pPr>
        <w:pStyle w:val="Heading3"/>
      </w:pPr>
      <w:r>
        <w:rPr>
          <w:color w:val="444444"/>
        </w:rPr>
        <w:t>[Insertion professionnelle] Le chômage des jeunes, un fléau français — et les leviers de l'apprentissage</w:t>
      </w:r>
    </w:p>
    <w:tbl>
      <w:tblPr>
        <w:tblStyle w:val="TableGrid"/>
        <w:tblW w:type="auto" w:w="0"/>
        <w:jc w:val="left"/>
        <w:tblLook w:firstColumn="1" w:firstRow="1" w:lastColumn="0" w:lastRow="0" w:noHBand="0" w:noVBand="1" w:val="04A0"/>
      </w:tblPr>
      <w:tblGrid>
        <w:gridCol w:w="4703"/>
        <w:gridCol w:w="4703"/>
      </w:tblGrid>
      <w:tr>
        <w:tc>
          <w:tcPr>
            <w:tcW w:type="dxa" w:w="4703"/>
          </w:tcPr>
          <w:p>
            <w:r/>
            <w:r>
              <w:rPr>
                <w:b/>
                <w:sz w:val="20"/>
              </w:rPr>
              <w:t xml:space="preserve">Source : </w:t>
            </w:r>
            <w:r>
              <w:rPr>
                <w:sz w:val="20"/>
              </w:rPr>
              <w:t>Le Monde / France Travail — Mars 2026</w:t>
            </w:r>
          </w:p>
        </w:tc>
        <w:tc>
          <w:tcPr>
            <w:tcW w:type="dxa" w:w="4703"/>
          </w:tcPr>
          <w:p>
            <w:r/>
            <w:r>
              <w:rPr>
                <w:b/>
                <w:sz w:val="20"/>
              </w:rPr>
              <w:t xml:space="preserve">Lien : </w:t>
            </w:r>
            <w:r>
              <w:rPr>
                <w:sz w:val="20"/>
              </w:rPr>
              <w:t>https://www.francetravail.fr/actualites/a-laffiche/2026/trouvez-un-emploi-qui-a-du-sens.html</w:t>
            </w:r>
          </w:p>
        </w:tc>
      </w:tr>
      <w:tr>
        <w:tc>
          <w:tcPr>
            <w:tcW w:type="dxa" w:w="9406"/>
            <w:gridSpan w:val="2"/>
          </w:tcPr>
          <w:p>
            <w:r/>
            <w:r>
              <w:rPr>
                <w:b/>
                <w:sz w:val="20"/>
              </w:rPr>
              <w:t xml:space="preserve">Résumé : </w:t>
            </w:r>
            <w:r>
              <w:rPr>
                <w:sz w:val="20"/>
              </w:rPr>
              <w:t>La France est le pays de l'UE où le chômage des 15-24 ans a le plus augmenté en 2025 (18,8 %). Le gouvernement maintient son cap d'1 million d'apprentis. 2 jeunes sur 3 sont en emploi à l'issue de leur apprentissage. Nouveau partenariat France Travail / Webedia pour toucher les jeunes sur les réseaux.</w:t>
            </w:r>
          </w:p>
        </w:tc>
      </w:tr>
      <w:tr>
        <w:tc>
          <w:tcPr>
            <w:tcW w:type="dxa" w:w="4703"/>
          </w:tcPr>
          <w:p>
            <w:r/>
            <w:r>
              <w:rPr>
                <w:b/>
                <w:sz w:val="20"/>
              </w:rPr>
              <w:t xml:space="preserve">Importance : </w:t>
            </w:r>
            <w:r>
              <w:rPr>
                <w:b/>
                <w:color w:val="444444"/>
                <w:sz w:val="20"/>
              </w:rPr>
              <w:t>INFORMATIF</w:t>
            </w:r>
          </w:p>
        </w:tc>
        <w:tc>
          <w:tcPr>
            <w:tcW w:type="dxa" w:w="4703"/>
          </w:tcPr>
          <w:p>
            <w:r/>
            <w:r>
              <w:rPr>
                <w:b/>
                <w:sz w:val="20"/>
              </w:rPr>
              <w:t xml:space="preserve">Statut : </w:t>
            </w:r>
            <w:r>
              <w:rPr>
                <w:sz w:val="20"/>
              </w:rPr>
              <w:t>À faire</w:t>
            </w:r>
          </w:p>
        </w:tc>
      </w:tr>
      <w:tr>
        <w:tc>
          <w:tcPr>
            <w:tcW w:type="dxa" w:w="9406"/>
            <w:gridSpan w:val="2"/>
          </w:tcPr>
          <w:p>
            <w:r/>
            <w:r>
              <w:rPr>
                <w:b/>
                <w:sz w:val="20"/>
              </w:rPr>
              <w:t>Actions à mener :</w:t>
              <w:br/>
            </w:r>
            <w:r>
              <w:rPr>
                <w:sz w:val="20"/>
              </w:rPr>
              <w:t>1. Valoriser les taux d'insertion du CFA dans la communication de recrutement.</w:t>
              <w:br/>
              <w:t>2. Renforcer les partenariats avec France Travail pour le sourcing d'apprentis.</w:t>
            </w:r>
          </w:p>
        </w:tc>
      </w:tr>
    </w:tbl>
    <w:p/>
    <w:p/>
    <w:p>
      <w:pPr>
        <w:jc w:val="center"/>
      </w:pPr>
      <w:r>
        <w:rPr>
          <w:i/>
          <w:color w:val="999999"/>
          <w:sz w:val="18"/>
        </w:rPr>
        <w:t>Rapport généré par Manus AI — Groupe Evolut'In Academy — Veille sectorielle mensuelle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