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F48" w14:textId="77777777" w:rsidR="009E5E22" w:rsidRPr="009E5E22" w:rsidRDefault="009E5E22" w:rsidP="009E5E22">
      <w:pPr>
        <w:suppressAutoHyphens/>
        <w:spacing w:after="3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44"/>
          <w:szCs w:val="44"/>
          <w:lang w:eastAsia="zh-CN" w:bidi="hi-IN"/>
          <w14:ligatures w14:val="none"/>
        </w:rPr>
        <w:t>Southampton Solent University</w:t>
      </w:r>
    </w:p>
    <w:p w14:paraId="4007A8F2" w14:textId="77777777" w:rsidR="009E5E22" w:rsidRPr="009E5E22" w:rsidRDefault="009E5E22" w:rsidP="009E5E22">
      <w:pPr>
        <w:suppressAutoHyphens/>
        <w:spacing w:before="120" w:after="12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32"/>
          <w:szCs w:val="32"/>
          <w:lang w:eastAsia="zh-CN" w:bidi="hi-IN"/>
          <w14:ligatures w14:val="none"/>
        </w:rPr>
        <w:t>Computing</w:t>
      </w:r>
    </w:p>
    <w:p w14:paraId="00E929F4"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color w:val="1F3864"/>
          <w:kern w:val="0"/>
          <w:sz w:val="28"/>
          <w:szCs w:val="28"/>
          <w:lang w:eastAsia="zh-CN" w:bidi="hi-IN"/>
          <w14:ligatures w14:val="none"/>
        </w:rPr>
        <w:t>School of Technology and Maritime Industries</w:t>
      </w:r>
    </w:p>
    <w:p w14:paraId="0BFB278C"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3D28D84A"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62FE5739"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Arial" w:hAnsi="Trebuchet MS" w:cs="Arial"/>
          <w:kern w:val="0"/>
          <w:lang w:eastAsia="zh-CN" w:bidi="hi-IN"/>
          <w14:ligatures w14:val="none"/>
        </w:rPr>
      </w:pPr>
      <w:r>
        <w:rPr>
          <w:rFonts w:ascii="Trebuchet MS" w:eastAsia="Trebuchet MS" w:hAnsi="Trebuchet MS" w:cs="Trebuchet MS"/>
          <w:b/>
          <w:bCs/>
          <w:i/>
          <w:iCs/>
          <w:color w:val="1F3864"/>
          <w:kern w:val="0"/>
          <w:sz w:val="36"/>
          <w:szCs w:val="36"/>
          <w:lang w:eastAsia="zh-CN" w:bidi="hi-IN"/>
          <w14:ligatures w14:val="none"/>
        </w:rPr>
        <w:t>GROUP - 15</w:t>
      </w:r>
    </w:p>
    <w:p w14:paraId="5265210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 xml:space="preserve">Industrial Consulting Project </w:t>
      </w:r>
    </w:p>
    <w:p w14:paraId="0CB155B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Pr>
          <w:rFonts w:ascii="Trebuchet MS" w:eastAsia="Trebuchet MS" w:hAnsi="Trebuchet MS" w:cs="Trebuchet MS"/>
          <w:b/>
          <w:bCs/>
          <w:color w:val="1F3864"/>
          <w:kern w:val="0"/>
          <w:sz w:val="36"/>
          <w:szCs w:val="36"/>
          <w:lang w:eastAsia="zh-CN" w:bidi="hi-IN"/>
          <w14:ligatures w14:val="none"/>
        </w:rPr>
        <w:t>(COM617)</w:t>
      </w:r>
    </w:p>
    <w:p w14:paraId="0A3272ED"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p>
    <w:p w14:paraId="4C6FA3F8"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Group Portfolio</w:t>
      </w:r>
    </w:p>
    <w:p w14:paraId="71F251EF"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 xml:space="preserve">Project Initiation Document </w:t>
      </w:r>
    </w:p>
    <w:p w14:paraId="783E2CCA"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28"/>
          <w:szCs w:val="28"/>
          <w:lang w:eastAsia="zh-CN" w:bidi="hi-IN"/>
          <w14:ligatures w14:val="none"/>
        </w:rPr>
      </w:pPr>
      <w:r>
        <w:rPr>
          <w:rFonts w:ascii="Trebuchet MS" w:eastAsia="Trebuchet MS" w:hAnsi="Trebuchet MS" w:cs="Trebuchet MS"/>
          <w:b/>
          <w:bCs/>
          <w:color w:val="002060"/>
          <w:kern w:val="0"/>
          <w:sz w:val="32"/>
          <w:szCs w:val="32"/>
          <w:lang w:eastAsia="zh-CN" w:bidi="hi-IN"/>
          <w14:ligatures w14:val="none"/>
        </w:rPr>
        <w:t>(PID)</w:t>
      </w:r>
      <w:r>
        <w:rPr>
          <w:rFonts w:ascii="Trebuchet MS" w:eastAsia="Trebuchet MS" w:hAnsi="Trebuchet MS" w:cs="Trebuchet MS"/>
          <w:b/>
          <w:bCs/>
          <w:color w:val="002060"/>
          <w:kern w:val="0"/>
          <w:sz w:val="28"/>
          <w:szCs w:val="28"/>
          <w:lang w:eastAsia="zh-CN" w:bidi="hi-IN"/>
          <w14:ligatures w14:val="none"/>
        </w:rPr>
        <w:t xml:space="preserve"> </w:t>
      </w:r>
    </w:p>
    <w:p w14:paraId="0449420A"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Pr>
          <w:rFonts w:ascii="Trebuchet MS" w:eastAsia="Trebuchet MS" w:hAnsi="Trebuchet MS" w:cs="Trebuchet MS"/>
          <w:b/>
          <w:bCs/>
          <w:color w:val="1F3864"/>
          <w:kern w:val="0"/>
          <w:sz w:val="28"/>
          <w:szCs w:val="28"/>
          <w:lang w:eastAsia="zh-CN" w:bidi="hi-IN"/>
          <w14:ligatures w14:val="none"/>
        </w:rPr>
        <w:t>AE1</w:t>
      </w:r>
    </w:p>
    <w:p w14:paraId="09772877" w14:textId="77777777" w:rsidR="009E5E22" w:rsidRPr="009E5E22" w:rsidRDefault="009E5E22" w:rsidP="009E5E22">
      <w:pPr>
        <w:suppressAutoHyphens/>
        <w:spacing w:before="400" w:after="240" w:line="300" w:lineRule="exact"/>
        <w:jc w:val="center"/>
        <w:rPr>
          <w:rFonts w:ascii="Trebuchet MS" w:eastAsia="Arial" w:hAnsi="Trebuchet MS" w:cs="Arial"/>
          <w:kern w:val="0"/>
          <w:lang w:eastAsia="zh-CN" w:bidi="hi-IN"/>
          <w14:ligatures w14:val="none"/>
        </w:rPr>
      </w:pPr>
    </w:p>
    <w:p w14:paraId="3B5824DD" w14:textId="77777777" w:rsidR="009E5E22" w:rsidRPr="009E5E22" w:rsidRDefault="009E5E22" w:rsidP="009E5E22">
      <w:pPr>
        <w:spacing w:after="0" w:line="240" w:lineRule="auto"/>
        <w:rPr>
          <w:rFonts w:ascii="Trebuchet MS" w:eastAsia="Trebuchet MS" w:hAnsi="Trebuchet MS" w:cs="Trebuchet MS"/>
          <w:b/>
          <w:bCs/>
          <w:color w:val="0B3D91"/>
          <w:kern w:val="0"/>
          <w:sz w:val="44"/>
          <w:szCs w:val="44"/>
          <w:lang w:eastAsia="en-GB"/>
          <w14:ligatures w14:val="none"/>
        </w:rPr>
      </w:pPr>
      <w:r>
        <w:rPr>
          <w:rFonts w:ascii="Trebuchet MS" w:eastAsia="Trebuchet MS" w:hAnsi="Trebuchet MS" w:cs="Trebuchet MS"/>
          <w:b/>
          <w:bCs/>
          <w:color w:val="0B3D91"/>
          <w:kern w:val="0"/>
          <w:sz w:val="44"/>
          <w:szCs w:val="44"/>
          <w:lang w:eastAsia="en-GB"/>
          <w14:ligatures w14:val="none"/>
        </w:rPr>
        <w:br w:type="page"/>
      </w:r>
    </w:p>
    <w:p w14:paraId="3F8AFEA3" w14:textId="77777777" w:rsidR="009E5E22" w:rsidRPr="009E5E22" w:rsidRDefault="009E5E22" w:rsidP="009E5E22">
      <w:pPr>
        <w:spacing w:after="0" w:line="240" w:lineRule="auto"/>
        <w:rPr>
          <w:rFonts w:ascii="Trebuchet MS" w:eastAsia="Trebuchet MS" w:hAnsi="Trebuchet MS" w:cs="Trebuchet MS"/>
          <w:i/>
          <w:iCs/>
          <w:kern w:val="0"/>
          <w:sz w:val="22"/>
          <w:szCs w:val="22"/>
          <w:lang w:eastAsia="en-GB"/>
          <w14:ligatures w14:val="none"/>
        </w:rPr>
      </w:pPr>
    </w:p>
    <w:p w14:paraId="52579093"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30"/>
          <w:szCs w:val="30"/>
          <w:lang w:eastAsia="en-GB"/>
          <w14:ligatures w14:val="none"/>
        </w:rPr>
        <w:t>GROUP - 15</w:t>
      </w:r>
    </w:p>
    <w:p w14:paraId="04523DAF"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6"/>
          <w:szCs w:val="26"/>
          <w:lang w:eastAsia="en-GB"/>
          <w14:ligatures w14:val="none"/>
        </w:rPr>
        <w:t>Industrial Consulting Project (COM617)</w:t>
      </w:r>
    </w:p>
    <w:p w14:paraId="621513BA" w14:textId="77777777" w:rsidR="009E5E22" w:rsidRPr="009E5E22" w:rsidRDefault="009E5E22" w:rsidP="009E5E22">
      <w:pPr>
        <w:spacing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Group Portfolio - Project Initiation Document - AE1</w:t>
      </w:r>
    </w:p>
    <w:p w14:paraId="5DA2A667"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AUTOMATED NETWORK ALERT TRIAGE,</w:t>
      </w:r>
    </w:p>
    <w:p w14:paraId="43D6A378"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8"/>
          <w:szCs w:val="28"/>
          <w:lang w:eastAsia="en-GB"/>
          <w14:ligatures w14:val="none"/>
        </w:rPr>
        <w:t>DIAGNOSTICS AND ENGINEER-READY REPORTING</w:t>
      </w:r>
    </w:p>
    <w:p w14:paraId="1C4A1B92" w14:textId="77777777" w:rsidR="009E5E22" w:rsidRPr="009E5E22" w:rsidRDefault="009E5E22" w:rsidP="009E5E22">
      <w:pPr>
        <w:spacing w:before="80" w:after="4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2"/>
          <w:szCs w:val="22"/>
          <w:lang w:eastAsia="en-GB"/>
          <w14:ligatures w14:val="none"/>
        </w:rPr>
        <w:t>An Expandable, Plugin-Based Framework for Enterprise NOC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E5E22" w:rsidRPr="009E5E22" w14:paraId="4B0A7ABA"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107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Module</w:t>
            </w:r>
          </w:p>
        </w:tc>
        <w:tc>
          <w:tcPr>
            <w:tcW w:w="6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86D0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COM617 Industrial Consulting Project</w:t>
            </w:r>
          </w:p>
        </w:tc>
      </w:tr>
      <w:tr w:rsidR="009E5E22" w:rsidRPr="009E5E22" w14:paraId="21330E4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130E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Module Leader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DC6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Martin Reid</w:t>
            </w:r>
          </w:p>
        </w:tc>
      </w:tr>
      <w:tr w:rsidR="009E5E22" w:rsidRPr="009E5E22" w14:paraId="541CA6E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7E5F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Assessment</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E91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AE1 - Group Portfolio / Project Initiation Document</w:t>
            </w:r>
          </w:p>
        </w:tc>
      </w:tr>
      <w:tr w:rsidR="009E5E22" w:rsidRPr="009E5E22" w14:paraId="06D7D42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BFC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696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 15</w:t>
            </w:r>
          </w:p>
        </w:tc>
      </w:tr>
      <w:tr w:rsidR="009E5E22" w:rsidRPr="009E5E22" w14:paraId="1490E77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F2FC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Team Members</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9A23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Jose Batalha De Vasconcelos (Scrum Master), </w:t>
            </w:r>
          </w:p>
          <w:p w14:paraId="4C2FD11F"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Biloliddin Turaev (Lead Developer), </w:t>
            </w:r>
          </w:p>
          <w:p w14:paraId="6176694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Akinwunmi Rotimi (QA Lead), </w:t>
            </w:r>
          </w:p>
          <w:p w14:paraId="16B0B809"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 (Systems Integration)</w:t>
            </w:r>
          </w:p>
        </w:tc>
      </w:tr>
      <w:tr w:rsidR="009E5E22" w:rsidRPr="009E5E22" w14:paraId="63DF32A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BC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 Sponsor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10DE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James Whale - Cisco Systems</w:t>
            </w:r>
          </w:p>
        </w:tc>
      </w:tr>
      <w:tr w:rsidR="009E5E22" w:rsidRPr="009E5E22" w14:paraId="41FA94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630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Supporting Tutor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6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Craig Gallen</w:t>
            </w:r>
          </w:p>
        </w:tc>
      </w:tr>
      <w:tr w:rsidR="009E5E22" w:rsidRPr="009E5E22" w14:paraId="245398F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1E33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Product Repository</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5F9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https://github.com/com617-industrial-2025-1/com617-AutomatedNetworkTroubleshooting-1</w:t>
            </w:r>
          </w:p>
        </w:tc>
      </w:tr>
      <w:tr w:rsidR="009E5E22" w:rsidRPr="009E5E22" w14:paraId="1BBF8E3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3E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Submission Date</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B166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Thursday 8 May 2026 (before 16:00)</w:t>
            </w:r>
          </w:p>
        </w:tc>
      </w:tr>
      <w:tr w:rsidR="009E5E22" w:rsidRPr="009E5E22" w14:paraId="6217529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EE1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Version</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603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Ver. 5.0 - Final Submission</w:t>
            </w:r>
          </w:p>
        </w:tc>
      </w:tr>
    </w:tbl>
    <w:p w14:paraId="33C8485E"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 Project metadata.</w:t>
      </w:r>
    </w:p>
    <w:p w14:paraId="258D0C00" w14:textId="77777777" w:rsidR="009E5E22" w:rsidRPr="009E5E22" w:rsidRDefault="009E5E22" w:rsidP="009E5E22">
      <w:pPr>
        <w:spacing w:before="24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30"/>
          <w:szCs w:val="30"/>
          <w:lang w:eastAsia="en-GB"/>
          <w14:ligatures w14:val="none"/>
        </w:rPr>
        <w:t>MARR</w:t>
      </w:r>
    </w:p>
    <w:p w14:paraId="2F122B47"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Monitor - Analyse - React - Report</w:t>
      </w:r>
    </w:p>
    <w:p w14:paraId="6712FD03" w14:textId="77777777" w:rsidR="009E5E22" w:rsidRPr="009E5E22" w:rsidRDefault="009E5E22" w:rsidP="009E5E22">
      <w:pPr>
        <w:spacing w:before="240" w:after="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i/>
          <w:iCs/>
          <w:kern w:val="0"/>
          <w:sz w:val="20"/>
          <w:szCs w:val="20"/>
          <w:lang w:eastAsia="en-GB"/>
          <w14:ligatures w14:val="none"/>
        </w:rPr>
        <w:t>Southampton Solent University - Cisco Systems - Academic Year 2025-26</w:t>
      </w:r>
    </w:p>
    <w:p w14:paraId="5E813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EC5143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 Project Summary and Introduction</w:t>
      </w:r>
    </w:p>
    <w:p w14:paraId="09A525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Network Operations Centres (NOCs) at scale do not fail because engineers lack expertise. They fail because raw telemetry arrives faster than human cognition can interpret reliably (Beyer et al. 2016). </w:t>
      </w:r>
    </w:p>
    <w:p w14:paraId="1F90D73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Conventional Network Management Systems, such as SolarWinds, Nagios, and Cisco Prime Infrastructure, improve observability but not interpretability: they make signals more visible without reducing the cognitive effort required to act on them. This is the layer where response delays accumulate in NOC workflows and where automation delivers the most operational value (IEEE_Challenges 2024).</w:t>
      </w:r>
    </w:p>
    <w:p w14:paraId="129E247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Group 15 has built MARR (Monitor, Analyse, React, Report), a Cisco-sponsored proof of concept that ingests SNMP and syslog events, classifies and correlates them using a rule-based engine, executes read-only Ansible diagnostic runbooks on the affected device, and delivers structured incident reports via Mattermost. </w:t>
      </w:r>
    </w:p>
    <w:p w14:paraId="57E9B2E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Machine learning is deferred until labelled production data exists: rule-based logic fails in transparent, debuggable ways an engineer can correct under pressure, where ML failure modes are statistical and opaque (Boutaba et al. 2018). The value framing is engineer decision quality, not headcount reduction (Kim et al. 2016; Bainbridge 1983).</w:t>
      </w:r>
    </w:p>
    <w:p w14:paraId="3B8077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A67A7A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2. Project Objectives</w:t>
      </w:r>
    </w:p>
    <w:p w14:paraId="05966F2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objectives are measurable, traceable to the sponsor's brief, and each carries an evidence source against which Sprint 3 results have been assessed. Detailed evidence and named assumptions sit in Appendix A (risk register) and Appendix E (operational evidence).</w:t>
      </w:r>
    </w:p>
    <w:p w14:paraId="773316B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Reduce mean time to triage (MTTT) through automated ingestion-to-categorisation. Target sub-5-second latency, evidenced by timestamped logs (Beyer et al. 2016).</w:t>
      </w:r>
    </w:p>
    <w:p w14:paraId="7DFA50E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Standardise alert handling via a runbook repository, with unknown alert types escalated rather than silently mishandled (Limoncelli, Hogan and Chalup 2014).</w:t>
      </w:r>
    </w:p>
    <w:p w14:paraId="06FD93CB"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vendor-agnostic, plugin-based architecture enabling new alert families without core refactoring (Bass, Clements and Kazman 2021).</w:t>
      </w:r>
    </w:p>
    <w:p w14:paraId="491B944F"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Enforce security-by-design: vault-backed credentials, RBAC, read-only diagnostic enforcement, and audit logging (Stallings 2017; BCS 2022; IET 2023).</w:t>
      </w:r>
    </w:p>
    <w:p w14:paraId="42157211"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Preserve human oversight at every automated pathway: confidence indicators in every report, low-confidence outputs escalated, no automated corrective commands (Bainbridge 1983).</w:t>
      </w:r>
    </w:p>
    <w:p w14:paraId="4BC5C812"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Deliver a containerised, version-controlled system deployable via single-command Docker Compose (Merkel 2014).</w:t>
      </w:r>
    </w:p>
    <w:p w14:paraId="7D9948D4"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 internal-consistency results (what synthetic testing can prove) from external-validity claims (what production would require).</w:t>
      </w:r>
    </w:p>
    <w:p w14:paraId="7C8BFB9A" w14:textId="77777777" w:rsidR="009E5E22" w:rsidRPr="009E5E22" w:rsidRDefault="009E5E22" w:rsidP="009E5E22">
      <w:pPr>
        <w:numPr>
          <w:ilvl w:val="0"/>
          <w:numId w:val="8"/>
        </w:num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403643"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3. Requirements</w:t>
      </w:r>
    </w:p>
    <w:p w14:paraId="376E70CC"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3.1 Functional Requirements</w:t>
      </w:r>
    </w:p>
    <w:p w14:paraId="22EA0E6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Real network alerts frequently carry incomplete or inconsistent metadata: missing device identifiers, ambiguous severity levels, and syslog formats that vary across firmware versions from the same vendor. FR-008 operationalises tolerance for this: a partial report with explicit uncertainty markers is more operationally useful than no report at 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1535"/>
        <w:gridCol w:w="4228"/>
        <w:gridCol w:w="947"/>
        <w:gridCol w:w="1665"/>
      </w:tblGrid>
      <w:tr w:rsidR="009E5E22" w:rsidRPr="009E5E22" w14:paraId="6EF86E05"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836C2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7CB07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Name</w:t>
            </w:r>
          </w:p>
        </w:tc>
        <w:tc>
          <w:tcPr>
            <w:tcW w:w="4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2E9EA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DB9F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Priority</w:t>
            </w:r>
          </w:p>
        </w:tc>
        <w:tc>
          <w:tcPr>
            <w:tcW w:w="1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E7AFA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Criteria</w:t>
            </w:r>
          </w:p>
        </w:tc>
      </w:tr>
      <w:tr w:rsidR="009E5E22" w:rsidRPr="009E5E22" w14:paraId="6846D5A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1AA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E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Ingestion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D99E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receive and ingest alerts from SNMP traps (UDP/162) and syslog sources (UDP/514) in real time, normalising all events to a versioned JSON schema before publication to the message broker.</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99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DD4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Events ingested within 5s; zero data loss under 1,000 alerts/min sustained load.</w:t>
            </w:r>
          </w:p>
        </w:tc>
      </w:tr>
      <w:tr w:rsidR="009E5E22" w:rsidRPr="009E5E22" w14:paraId="168652D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08C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ACD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Categorisation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A97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classify alerts by type, severity, and affected device using a rule-based matching engine operating against a versioned, externally managed ruleset.</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ACF7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74E5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Correct classification of two or more alert families in integration testing; unknown types are explicitly escalated.</w:t>
            </w:r>
          </w:p>
        </w:tc>
      </w:tr>
      <w:tr w:rsidR="009E5E22" w:rsidRPr="009E5E22" w14:paraId="6FA6DA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3E82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D0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Root Cause Correlation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EF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correlate temporally and topologically related alerts within a configurable time window to identify probable root causes. Alerts without a matching correlation rule shall be flagged explicitly, never silently discarded.</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23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8B2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 root-cause report per correlated group; unmatched events produce an escalation record with a documentation flag.</w:t>
            </w:r>
          </w:p>
        </w:tc>
      </w:tr>
      <w:tr w:rsidR="009E5E22" w:rsidRPr="009E5E22" w14:paraId="45B2655E"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B8C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C4C6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Diagnostics</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AA5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660E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89E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Diagnostics complete without device-side configuration changes; allowlist enforcement verified through an audit of runbook task definitions.</w:t>
            </w:r>
          </w:p>
        </w:tc>
      </w:tr>
      <w:tr w:rsidR="009E5E22" w:rsidRPr="009E5E22" w14:paraId="0A516AE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7AA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73AB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Reporting</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97C9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The system shall generate structured incident reports including alert context, diagnostic results, recommended actions, </w:t>
              <w:lastRenderedPageBreak/>
              <w:t>and a per-categorisation confidence indicator, delivered via messaging integration.</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1F1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A53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Reports delivered </w:t>
              <w:lastRenderedPageBreak/>
              <w:t>within 10 s of correlation.</w:t>
            </w:r>
          </w:p>
        </w:tc>
      </w:tr>
      <w:tr w:rsidR="009E5E22" w:rsidRPr="009E5E22" w14:paraId="60C80E8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F23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8730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Knowledge Base</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A19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system shall maintain a searchable repository of resolved incidents and runbooks. Alert types without a matching runbook shall produce an escalation entry with an explicit documentation gap flag.</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53AD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7F5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Past incidents queryable; unmatched alerts escalated with a flag.</w:t>
            </w:r>
          </w:p>
        </w:tc>
      </w:tr>
      <w:tr w:rsidR="009E5E22" w:rsidRPr="009E5E22" w14:paraId="1F524F3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179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0E63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210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 React.js web dashboard shall present active alerts, system health, and historical incident data accessible via modern browsers without specialist training.</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2A3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721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Accessible via Chrome/Firefox - no specialist training required.</w:t>
            </w:r>
          </w:p>
        </w:tc>
      </w:tr>
      <w:tr w:rsidR="009E5E22" w:rsidRPr="009E5E22" w14:paraId="3880E4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5EB7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7F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Alert Handling</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82E1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Alerts with incomplete or malformed metadata shall not be silently discarded. The system shall produce a partial report with explicit uncertainty markers and route the event to an escalation queue.</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CDA1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82F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Malformed test alerts produce a partial report and an escalation entry - zero silent data loss.</w:t>
            </w:r>
          </w:p>
        </w:tc>
      </w:tr>
    </w:tbl>
    <w:p w14:paraId="43CFC87C" w14:textId="77777777" w:rsidR="009E5E22" w:rsidRPr="009E5E22" w:rsidRDefault="009E5E22" w:rsidP="009E5E22">
      <w:pPr>
        <w:spacing w:before="80" w:after="200" w:line="260" w:lineRule="auto"/>
        <w:jc w:val="center"/>
        <w:rPr>
          <w:rFonts w:ascii="Trebuchet MS" w:eastAsia="Trebuchet MS" w:hAnsi="Trebuchet MS" w:cs="Trebuchet MS"/>
          <w:kern w:val="0"/>
          <w:lang w:eastAsia="en-GB"/>
          <w14:ligatures w14:val="none"/>
        </w:rPr>
      </w:pPr>
      <w:r>
        <w:rPr>
          <w:rFonts w:ascii="Trebuchet MS" w:eastAsia="Trebuchet MS" w:hAnsi="Trebuchet MS" w:cs="Trebuchet MS"/>
          <w:b/>
          <w:bCs/>
          <w:i/>
          <w:iCs/>
          <w:kern w:val="0"/>
          <w:sz w:val="22"/>
          <w:szCs w:val="22"/>
          <w:lang w:eastAsia="en-GB"/>
          <w14:ligatures w14:val="none"/>
        </w:rPr>
        <w:t>Table 2. Functional requirements specification.</w:t>
      </w:r>
    </w:p>
    <w:p w14:paraId="154B084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1,000-alerts-per-minute target in NFR-002 is a design target for burst-handling architecture, not a measurement against production data. The queue-based architecture supports horizontal scaling if production volumes exceed it</w:t>
      </w:r>
      <w:r>
        <w:rPr>
          <w:rFonts w:ascii="Trebuchet MS" w:eastAsia="Trebuchet MS" w:hAnsi="Trebuchet MS" w:cs="Trebuchet MS"/>
          <w:kern w:val="0"/>
          <w:sz w:val="22"/>
          <w:szCs w:val="22"/>
          <w:lang w:eastAsia="en-GB"/>
          <w14:ligatures w14:val="none"/>
        </w:rPr>
        <w:t>.</w:t>
      </w:r>
    </w:p>
    <w:p w14:paraId="7A894D5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3.2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572"/>
        <w:gridCol w:w="2679"/>
        <w:gridCol w:w="3951"/>
      </w:tblGrid>
      <w:tr w:rsidR="009E5E22" w:rsidRPr="009E5E22" w14:paraId="52A1DDDE" w14:textId="77777777" w:rsidTr="00842526">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0697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87DEE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Category</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23905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Target</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0A0C4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13F4038C"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7C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53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Reliability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E8F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99.9% uptime; graceful degradation via dead-letter queuing under overload.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A5E2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Unverifiable under synthetic conditions; treated as an architectural aspiration. Dead-letter queuing prevents alert loss on transient queue failure (Nygard 2018).</w:t>
            </w:r>
          </w:p>
        </w:tc>
      </w:tr>
      <w:tr w:rsidR="009E5E22" w:rsidRPr="009E5E22" w14:paraId="60DDEBBA"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8C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9DF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Scalability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91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1,000 alerts/min or higher; horizontally scalable queue workers.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A409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figure is a design target, not derived from production data. The caveat is explicit: the figure may over- or under-represent real-world burst characteristics (Abbott and Fisher 2015).</w:t>
            </w:r>
          </w:p>
        </w:tc>
      </w:tr>
      <w:tr w:rsidR="009E5E22" w:rsidRPr="009E5E22" w14:paraId="0BFD7BE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921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75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Security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5A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TLS in transit; AES-256 at rest; RBAC enforced; immutable audit log.</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737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Automated network access constitutes a high-value attack surface. Security is a first-class constraint, not an afterthought (Stallings 2017).</w:t>
            </w:r>
          </w:p>
        </w:tc>
      </w:tr>
      <w:tr w:rsidR="009E5E22" w:rsidRPr="009E5E22" w14:paraId="15A4FBA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8798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4D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Performance</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EB1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Ingestion-to-categorisation latency 5 s or below under sustained synthetic 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5D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Sub-5-second MTTT is operationally meaningful only if the accompanying report provides sufficient context. Latency measurements are timestamped at the ingestion and categorisation boundaries.</w:t>
            </w:r>
          </w:p>
        </w:tc>
      </w:tr>
      <w:tr w:rsidR="009E5E22" w:rsidRPr="009E5E22" w14:paraId="7A2D8CF6"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77B6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NFR-005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2605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Maintainability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456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PEP 8 compliance; 80% or higher unit test coverage; inline documentation; Git version control.</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CFC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Code quality reduces the maintenance burden created when automation itself becomes a support liability, a risk explicitly identified in DevOps literature (Kim et al. 2016).</w:t>
            </w:r>
          </w:p>
        </w:tc>
      </w:tr>
      <w:tr w:rsidR="009E5E22" w:rsidRPr="009E5E22" w14:paraId="33699D9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5C20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1B91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Extensibility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6C82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New alert types and diagnostic adapters via plugin interface; no core refactoring required.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9525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Vendor-agnosticism and expandability are explicit sponsor requirements. Plugin architecture enables future adaptation without destabilising tested components (Bass, Clements and Kazman 2021).</w:t>
            </w:r>
          </w:p>
        </w:tc>
      </w:tr>
      <w:tr w:rsidR="009E5E22" w:rsidRPr="009E5E22" w14:paraId="6EF0B67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F819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B98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Versioning</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7C8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schema and ruleset versions are backwards-compatible; the schema version is embedded in each event record.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80D8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Schema drift is a silent operational risk. Backwards compatibility ensures ruleset updates do not break historical event replay.</w:t>
            </w:r>
          </w:p>
        </w:tc>
      </w:tr>
    </w:tbl>
    <w:p w14:paraId="2394E7D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3. Non-functional requirements specification.</w:t>
      </w:r>
    </w:p>
    <w:p w14:paraId="228E2F0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3AF84F9"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4. Scope and Exclusions</w:t>
      </w:r>
    </w:p>
    <w:p w14:paraId="3F8D255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Inclusions are justified by what the MVP needs to demonstrate; the cost of premature inclusion justifies exclusions.</w:t>
      </w:r>
    </w:p>
    <w:p w14:paraId="24DE4F2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4.1 In Scope - MVP</w:t>
      </w:r>
    </w:p>
    <w:p w14:paraId="7F8E544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SNMP trap (UDP/162) and syslog (UDP/514) ingestion via dedicated listeners.</w:t>
      </w:r>
    </w:p>
    <w:p w14:paraId="1243A626"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across two alert families: interface-down and BGP/OSPF neighbour loss.</w:t>
      </w:r>
    </w:p>
    <w:p w14:paraId="4849B39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Read-only Ansible-runbook diagnostics with command allowlist enforced at the runbook task layer.</w:t>
      </w:r>
    </w:p>
    <w:p w14:paraId="4E7B224F"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Mattermost incident reporting; Docker Compose deployment; React.js dashboard.</w:t>
      </w:r>
    </w:p>
    <w:p w14:paraId="64E01FF7"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Per-categorisation confidence indicator; partial-alert handling (FR-008); backwards-compatible schema versioning (NFR-007).</w:t>
      </w:r>
    </w:p>
    <w:p w14:paraId="05373C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4.2 Explicitly Excluded - MVP</w:t>
      </w:r>
    </w:p>
    <w:p w14:paraId="332501F5"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ML-based correlation: </w:t>
      </w:r>
      <w:r>
        <w:rPr>
          <w:rFonts w:ascii="Trebuchet MS" w:eastAsia="Trebuchet MS" w:hAnsi="Trebuchet MS" w:cs="Trebuchet MS"/>
          <w:kern w:val="0"/>
          <w:lang w:eastAsia="en-GB"/>
          <w14:ligatures w14:val="none"/>
        </w:rPr>
        <w:t>deferred until labelled production data exists. An unreliable ML model in alert triage actively misdirects engineers (Boutaba et al. 2018).</w:t>
      </w:r>
    </w:p>
    <w:p w14:paraId="2DC8DA4A"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Autonomous remediation: </w:t>
      </w:r>
      <w:r>
        <w:rPr>
          <w:rFonts w:ascii="Trebuchet MS" w:eastAsia="Trebuchet MS" w:hAnsi="Trebuchet MS" w:cs="Trebuchet MS"/>
          <w:kern w:val="0"/>
          <w:lang w:eastAsia="en-GB"/>
          <w14:ligatures w14:val="none"/>
        </w:rPr>
        <w:t>excluded on safety grounds. An incorrect command can cause the outage it was meant to prevent. The system is diagnostic, not corrective.</w:t>
      </w:r>
    </w:p>
    <w:p w14:paraId="0D6B0AE6"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Production deployment: </w:t>
      </w:r>
      <w:r>
        <w:rPr>
          <w:rFonts w:ascii="Trebuchet MS" w:eastAsia="Trebuchet MS" w:hAnsi="Trebuchet MS" w:cs="Trebuchet MS"/>
          <w:kern w:val="0"/>
          <w:lang w:eastAsia="en-GB"/>
          <w14:ligatures w14:val="none"/>
        </w:rPr>
        <w:t>the MVP runs on Containerlab/FRRouting. Categorisation rules will require adaptation against Cisco IOS before production use.</w:t>
      </w:r>
    </w:p>
    <w:p w14:paraId="5E8DCE01"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Ticketing integration: </w:t>
      </w:r>
      <w:r>
        <w:rPr>
          <w:rFonts w:ascii="Trebuchet MS" w:eastAsia="Trebuchet MS" w:hAnsi="Trebuchet MS" w:cs="Trebuchet MS"/>
          <w:kern w:val="0"/>
          <w:lang w:eastAsia="en-GB"/>
          <w14:ligatures w14:val="none"/>
        </w:rPr>
        <w:t>ServiceNow and Jira deferred to v1, with operational cost named in Section 11.1.</w:t>
      </w:r>
    </w:p>
    <w:p w14:paraId="0124DBE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Vendor-agnosticism is demonstrated at the adapter layer; full equivalence across IOS, JunOS, and EOS is a v1 validation activity. Privileged automated diagnostic access is treated as a security liability with ongoing governance obligations (Stallings 2017).</w:t>
      </w:r>
    </w:p>
    <w:p w14:paraId="7E14D0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F988F64"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5. Monitoring and Evaluation</w:t>
      </w:r>
    </w:p>
    <w:p w14:paraId="1AC1E5A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Synthetic evaluation by the team that built the system is an internal-consistency check, not a claim of external validity. Three categories of edge cases will not be captured by synthetic data: vendor-specific syslog format variation, real temporal clustering (link flaps, BGP reconvergence), and ambiguous causality between adjacent independent failures. Detailed methodology and per-scenario expectations are in Appendix C.</w:t>
      </w:r>
    </w:p>
    <w:p w14:paraId="1B93973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5.1 Fault Injection Test Scenarios</w:t>
      </w:r>
    </w:p>
    <w:p w14:paraId="081D4CF6"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Scenario A - Link-failure cascade: interface shutdown, then OSPF, then BGP, MTTT measured against 5-second target (FR-003).</w:t>
      </w:r>
    </w:p>
    <w:p w14:paraId="671E3861"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Scenario B - Partial metadata: malformed syslog with missing device identifier (FR-008).</w:t>
      </w:r>
    </w:p>
    <w:p w14:paraId="0D65D83A"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Scenario C - Alert storm: 1,000 synthetic alerts per minute for 60 seconds (NFR-002).</w:t>
      </w:r>
    </w:p>
    <w:p w14:paraId="1724EDA2"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Scenario D - Correlation window sensitivity at 30/60/120 second settings.</w:t>
      </w:r>
    </w:p>
    <w:p w14:paraId="7EBD1B0B"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5.2 Evaluation Metrics</w:t>
      </w:r>
    </w:p>
    <w:p w14:paraId="37C361D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Tracked metrics: MTTT, categorisation accuracy, correlation precision and recall, report delivery latency, and false-escalation rate. Every figure in Section 10 is labelled as an internal-consistency measurement; no figure is presented as a production-validity claim (Botta et al. 2012).</w:t>
      </w:r>
    </w:p>
    <w:p w14:paraId="5D8E58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8EB60F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6. Project Organisation Structure</w:t>
      </w:r>
    </w:p>
    <w:p w14:paraId="38F4F32D"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Group 15 operates under a flat, four-member structure with explicit role separation mapped to the project's discipline boundaries, enabling parallel sprint work without cross-cutting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9E5E22" w:rsidRPr="009E5E22" w14:paraId="57EC0195"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821C5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Member</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C52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1E854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Primary Responsibilities</w:t>
            </w:r>
          </w:p>
        </w:tc>
      </w:tr>
      <w:tr w:rsidR="009E5E22" w:rsidRPr="009E5E22" w14:paraId="387741E0"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59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Jose Batalha De Vasconcelos</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EA9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Scrum Master / Project Lead</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71DEA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planning; ceremony facilitation; sponsor liaison; risk register custodianship; release engineering.</w:t>
            </w:r>
          </w:p>
        </w:tc>
      </w:tr>
      <w:tr w:rsidR="009E5E22" w:rsidRPr="009E5E22" w14:paraId="5E111F0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6F16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Turaev</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91EF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Lead Developer / Architecture</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F5DC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 architecture; categorisation engine; correlation engine; pipeline core; code review.</w:t>
            </w:r>
          </w:p>
        </w:tc>
      </w:tr>
      <w:tr w:rsidR="009E5E22" w:rsidRPr="009E5E22" w14:paraId="6A8F7A4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064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Rotimi</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98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QA Lead / Evaluation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E56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plan; fault injection scenarios; evaluation methodology; metric integrity; methodological scrutiny.</w:t>
            </w:r>
          </w:p>
        </w:tc>
      </w:tr>
      <w:tr w:rsidR="009E5E22" w:rsidRPr="009E5E22" w14:paraId="2D5917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374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Akinwunmi Kayode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82F0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Systems Integration / Reporting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02C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runbooks; reporting pipeline; notification integration; issues resolution.</w:t>
            </w:r>
          </w:p>
        </w:tc>
      </w:tr>
    </w:tbl>
    <w:p w14:paraId="4DF4D3BF"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4. Group organisation, role mapping, and primary responsibilities.</w:t>
      </w:r>
    </w:p>
    <w:p w14:paraId="446C20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Decisions affecting system architecture or evaluation methodology require quorum among the Lead Developer, QA Lead, and Scrum Master, preventing single-discipline reasoning from determining cross-cutting decisions.</w:t>
      </w:r>
    </w:p>
    <w:p w14:paraId="031A42E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84428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7. Project Deliverables</w:t>
      </w:r>
    </w:p>
    <w:p w14:paraId="69F8DC8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project deliverables comprise: the MARR pipeline source (Python, version-controlled); YAML categorisation rule definitions; the Ansible runbook library covering interface-down, OSPF neighbour-loss, and BGP session-drop diagnostics; the Containerlab topology with three FRR routers and two minions; Docker Compose manifests for the supporting stack (OpenNMS Horizon, Mattermost, Kafka, Redis, Prometheus, Grafana, Vault); the React.js dashboard reference implementation; the AE2 product demonstration script; this Project Initiation Document with appendices; and the Lab Session Log capturing the implementation work and diagnostic findings.</w:t>
      </w:r>
    </w:p>
    <w:p w14:paraId="0B3133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998981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8. Project Milestones and Management</w:t>
      </w:r>
    </w:p>
    <w:p w14:paraId="6E0F8A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sprint plan operates three sprints with explicit hand-offs and acceptance triggers. Each sprint closes with a retrospective producing concrete corrections to the next sprint's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1287"/>
        <w:gridCol w:w="3894"/>
        <w:gridCol w:w="1675"/>
        <w:gridCol w:w="1456"/>
      </w:tblGrid>
      <w:tr w:rsidR="009E5E22" w:rsidRPr="009E5E22" w14:paraId="523CB7C2" w14:textId="77777777" w:rsidTr="00842526">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35399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Sprint</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5EE39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Window</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F1A3A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Deliverables</w:t>
            </w:r>
          </w:p>
        </w:tc>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456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Owner(s)</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AC1F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Acceptance Trigger</w:t>
            </w:r>
          </w:p>
        </w:tc>
      </w:tr>
      <w:tr w:rsidR="009E5E22" w:rsidRPr="009E5E22" w14:paraId="2D80F4EE"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80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E554C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1-3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209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topology with three FRR routers, working OpenNMS Horizon plus minions deployment, Docker Compose stack baseline, repository skeleton with linting/CI.</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735B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C7D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cold-starts cleanly via a single Ansible playbook; both minions register; routers exchange BGP and OSPF.</w:t>
            </w:r>
          </w:p>
        </w:tc>
      </w:tr>
      <w:tr w:rsidR="009E5E22" w:rsidRPr="009E5E22" w14:paraId="2C1D6AF9"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11A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49C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4-7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4D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Working PoC: SNMP/syslog ingestion, Kafka backbone, rule-based categoriser. Initial Ansible diagnostic runbook for link-down. Test plan 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EF6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Jose, Rotimi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E2F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The ingestion pipeline processes synthetic alerts end-to-end with a 5s latency target.</w:t>
            </w:r>
          </w:p>
        </w:tc>
      </w:tr>
      <w:tr w:rsidR="009E5E22" w:rsidRPr="009E5E22" w14:paraId="36A094B8"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9DAA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5944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Wks. 8-12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356D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with windowed grouping; suppression hook in receiver; Mattermost reporter with grouped-incident report path; full evaluation against Scenarios A-D; AE2 product demo materials.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8A4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Biloliddin (lead), Kayode, Rotimi, Jose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39D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demonstrably groups related events; grouped report renders correctly in Mattermost; AE2 demo rehearsed.</w:t>
            </w:r>
          </w:p>
        </w:tc>
      </w:tr>
    </w:tbl>
    <w:p w14:paraId="49762F7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5. Sprint plan with deliverables and acceptance triggers.</w:t>
      </w:r>
    </w:p>
    <w:p w14:paraId="56087D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1EBC5B0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9. Implementation</w:t>
      </w:r>
    </w:p>
    <w:p w14:paraId="3AFCE3C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9.1 System Architecture</w:t>
      </w:r>
    </w:p>
    <w:p w14:paraId="12BB00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a five-stage pipeline with broker-mediated communication between independently deployable stages (Bass, Clements and Kazman 2021): (1) Ingestion - SNMP and syslog listeners normalise events to a versioned JSON schema and publish to Apache Kafka; (2) Categorisation - a rule-based engine classifies against versioned YAML rulesets; (3) Correlation - a stateful Redis-backed engine groups events on a synthetic source key with atomic lease acquisition for single-emitter semantics; (4) Diagnostics - Ansible runbooks dispatch read-only show commands inside the affected device's container, with the allowlist enforced through the runbook task definitions; (5) Reporting - structured incident reports delivered via Mattermost webhook.</w:t>
      </w:r>
    </w:p>
    <w:p w14:paraId="2B155C8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7601570" wp14:editId="2C232B40">
            <wp:extent cx="5715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952875"/>
                    </a:xfrm>
                    <a:prstGeom prst="rect">
                      <a:avLst/>
                    </a:prstGeom>
                  </pic:spPr>
                </pic:pic>
              </a:graphicData>
            </a:graphic>
          </wp:inline>
        </w:drawing>
      </w:r>
    </w:p>
    <w:p w14:paraId="6D8AF6DD"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E1. MARR system architecture as deployed in v4.0 lab, 3 May 2026. Two horizontal planes (marr-net 172.21.0.0/16; marr-reporting 172.22.0.0/24); five colour-coded data flows distinguish ingestion (orange), Kafka (blue), Redis (purple), Ansible (green), and Mattermost (pink).</w:t>
      </w:r>
    </w:p>
    <w:p w14:paraId="072D5DFF"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9.2 Key Architectural Decisions</w:t>
      </w:r>
    </w:p>
    <w:p w14:paraId="727BADB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Apache Kafka was selected over RabbitMQ because the correlator was added mid-Sprint 3 without changes to the receiver, and Kafka's durable replayable log made that decoupling possible. Ansible was selected over Netmiko for the v1.0 simulation MVP because read-only enforcement is architecturally visible at the runbook task </w:t>
        <w:lastRenderedPageBreak/>
        <w:t>layer (a static review of YAML rather than a runtime audit of an SSH session); Netmiko remains the right choice for production deployment to physical Cisco equipment in v1, with the executor swap scoped as a single-component change. ML-based correlation is deferred until labelled production data exists. Detailed trade-off analysis is in Appendix B; the correlator implementation (source-key derivation, lease primitive, fail-safe suppression hook, idempotency marker, blocking-emission limitation, race-condition and dotenv fixes diagnosed in-session) is documented in Appendix C.</w:t>
      </w:r>
    </w:p>
    <w:p w14:paraId="0DC43A8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9.3 Security Architecture</w:t>
      </w:r>
    </w:p>
    <w:p w14:paraId="3C05CF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threat model identifies three attack surfaces: ingestion listener, Ansible diagnostic runner, and dashboard API. Mitigations are schema validation on ingestion, runbook-layer read-only enforcement on diagnostics, and JWT-based RBAC with immutable PostgreSQL audit logging on the dashboard. A full security audit is deferred to v1; MVP security controls reduce, not eliminate, exposure (Stallings 2017).</w:t>
      </w:r>
    </w:p>
    <w:p w14:paraId="45FC94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5D275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10. Results</w:t>
      </w:r>
    </w:p>
    <w:p w14:paraId="75F5E1F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Results are reported against two measurement classes: </w:t>
      </w:r>
    </w:p>
    <w:p w14:paraId="74EBB9B1"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A captures Sprint 1 to early Sprint 3 outcomes that are confirmed and reproducible from the current v4.0 release (commit 076ea99 plus the in-session correlator work). </w:t>
      </w:r>
    </w:p>
    <w:p w14:paraId="123FB536"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Class B captures the Sprint 3 evaluation work that was still in progress at the time of submission. </w:t>
      </w:r>
    </w:p>
    <w:p w14:paraId="3117A07A"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Distinguishing the two is a deliberate analytical discipline: presenting in-progress measurements as final results would be a methodological failure, but suppressing confirmed evidence would understate the project's actual standing.</w:t>
      </w:r>
    </w:p>
    <w:p w14:paraId="7274233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10.1 Class A - Confirmed PoC Results (v4.0 plus 3 May 2026 in-session work)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272"/>
        <w:gridCol w:w="3993"/>
        <w:gridCol w:w="2102"/>
      </w:tblGrid>
      <w:tr w:rsidR="009E5E22" w:rsidRPr="009E5E22" w14:paraId="390A1AB2" w14:textId="77777777" w:rsidTr="00842526">
        <w:tc>
          <w:tcPr>
            <w:tcW w:w="98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C77C5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Requirement</w:t>
            </w:r>
          </w:p>
        </w:tc>
        <w:tc>
          <w:tcPr>
            <w:tcW w:w="227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F2EF4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Test Method</w:t>
            </w:r>
          </w:p>
        </w:tc>
        <w:tc>
          <w:tcPr>
            <w:tcW w:w="399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D30A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Observed Outcome</w:t>
            </w:r>
          </w:p>
        </w:tc>
        <w:tc>
          <w:tcPr>
            <w:tcW w:w="21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64AA78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Artefact</w:t>
            </w:r>
          </w:p>
        </w:tc>
      </w:tr>
      <w:tr w:rsidR="009E5E22" w:rsidRPr="009E5E22" w14:paraId="660D53E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F60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Alert Ingestion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162C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via the marr-snmp-notifier listener on 172.21.0.14; pipeline traced through to Kafka topic snmp.traps and the synchronous HTTP receiver.</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840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Trap-to-listener latency 197ms; listener-to-receiver end-to-end 2.538 s. Pipeline routes events to classification and Kafka without loss across the tested injection rate.</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3987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5; Figure D1.</w:t>
            </w:r>
          </w:p>
        </w:tc>
      </w:tr>
      <w:tr w:rsidR="009E5E22" w:rsidRPr="009E5E22" w14:paraId="5E762AF5"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9006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FR-002 Categorisation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0C1A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Rule-based classifier exercised against linkDown, BGP-5-ADJCHANGE, and OSPF-5-ADJCHG syslog families.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164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94% classification accuracy against the developer-authored test corpus; misclassifications confined to malformed payloads handled by FR-008.</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21D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engine/classifier.py unit test report.</w:t>
            </w:r>
          </w:p>
        </w:tc>
      </w:tr>
      <w:tr w:rsidR="009E5E22" w:rsidRPr="009E5E22" w14:paraId="4FE775A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AD1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Correlation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69C5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Cascade test of three same-source-key SNMP traps spaced 3 s apart, plus one distinct-source-key control trap, against the running correlator (python/correlator.py).</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88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Grouped' Network Incident (correlated)' Mattermost report emitted with two of three cascade events; the third event was correctly excluded from the group due to documented blocking-emission limitation (Section 9.4); the control trap correctly produced its own per-event report. Suppression of redundant per-event reports verified within ~3 s of lease acquisition.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A6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python/correlator.py; Figure D2; Lab Session Log Section 9.</w:t>
            </w:r>
          </w:p>
        </w:tc>
      </w:tr>
      <w:tr w:rsidR="009E5E22" w:rsidRPr="009E5E22" w14:paraId="06AD0AE1"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A5C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Automated Diagnostics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7934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Ansible playbook diagnose_link_down.yml triggered by the receiver against clab-marr-lab-router1; four community.docker.docker_container_exec invocations of FRR </w:t>
              <w:lastRenderedPageBreak/>
              <w:t>vtysh diagnostic commands.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CFE86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Show interface, show ip ospf neighbor, show ip bgp summary, show ip route all executed; end-to-end pipeline cycle 2.714 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3FB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ansible/playbooks/diagnose_link_down.yml; Figure E4.</w:t>
            </w:r>
          </w:p>
        </w:tc>
      </w:tr>
      <w:tr w:rsidR="009E5E22" w:rsidRPr="009E5E22" w14:paraId="3E3A7340"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71A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 Reporting</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9D2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Mattermost notifier executed end-to-end after the Diag Status fidelity fix.</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AEAE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Reports delivered to the network-alerts channel within the 10-second target with structured fault context and honest per-task accounting (e.g. 'Diag Status: warning - 2/6 ok, 4 failed,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34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python/mattermost_notifier.py runtime log; Figure D3.</w:t>
            </w:r>
          </w:p>
        </w:tc>
      </w:tr>
      <w:tr w:rsidR="009E5E22" w:rsidRPr="009E5E22" w14:paraId="002C7AA4"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4316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Partial Alerts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C8C7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Injection of a malformed SNMP trap with nodeLabel resolving to 'unknown'.</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BC1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report generated, event routed to escalation queue (no silent data loss); Diag Status correctly surfaces the four task failures rather than masking them behind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16A0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python/alert_receiver.py exception path log; Figure D4.</w:t>
            </w:r>
          </w:p>
        </w:tc>
      </w:tr>
      <w:tr w:rsidR="009E5E22" w:rsidRPr="009E5E22" w14:paraId="0E00947A"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983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EB64B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ansible-playbook scripts/lab-start.yml (cold start on 3 May 2026).</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84D0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(the two ignored are by-design negative probes in STEP 4/8 of the playbook). Both minions register at STEP 6/8 within 5 minutes of Horizon healthy state. A subsequent recovery run after a workstation crash recorded ok=38, changed=9, failed=0, ignored=0.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0762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scripts/lab-start.yml log; Lab Session Log Sections 3 and 12.</w:t>
            </w:r>
          </w:p>
        </w:tc>
      </w:tr>
      <w:tr w:rsidR="009E5E22" w:rsidRPr="009E5E22" w14:paraId="78F061EE"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CC0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Multi-site Readiness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385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E2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totalCount=2; both minions report status=up. Locations renamed in-session: solent-1-minion-01 at location Solent-1, solent-2-minion-01 at location Solent-2 (env-var-driven rename through MINION_LOCATION substitution in custom.properties; survives crash and restart).</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37C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/opennms/rest/minions; opennms/minions/{chongjin,hamhung}/docker-compose.yml line 8.</w:t>
            </w:r>
          </w:p>
        </w:tc>
      </w:tr>
    </w:tbl>
    <w:p w14:paraId="38E9F20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6. Confirmed evaluation outcomes against the Sprint 1 to Sprint 2 acceptance criteria, updated with 3 May 2026 in-session evidence, including the new correlator implementation.</w:t>
      </w:r>
    </w:p>
    <w:p w14:paraId="01F5E4A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Operational behaviour described in Table 6 is evidenced in Appendix D, with ingestion traces (Figure D1), correlation outputs (Figure D2), reporting fidelity (Figure D3), and partial-alert handling (Figure D4); the diagnostic execution layer (FR-004) is evidenced in Appendix E (Figure E4).</w:t>
      </w:r>
    </w:p>
    <w:p w14:paraId="5151E82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10.2 Class B - Sprint 3 Evaluation in Progress</w:t>
      </w:r>
    </w:p>
    <w:p w14:paraId="4E4337C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Outstanding evaluation activities to be appended at the AE2 demonstration: end-to-end MTTT under cascade scenario, correlation-window sensitivity at 30/60/120-second settings, alert-storm resilience at 1,000 events/minute, and a security-audit trace of the read-only enforcement boundary.</w:t>
      </w:r>
    </w:p>
    <w:p w14:paraId="03C0569E"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10.3 Internal Consistency versus External Validity</w:t>
      </w:r>
    </w:p>
    <w:p w14:paraId="04C7A62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Every metric in Table 6 is an internal-consistency measurement against a developer-authored test corpus on a Containerlab/FRRouting topology. The 94% categorisation figure is internal logical correctness, not production accuracy. The FR-003 result confirms that the correlator's grouping machinery works under the synthetic cascade scenario but does not predict production traffic behaviour. Production validity would </w:t>
        <w:lastRenderedPageBreak/>
        <w:t>require labelled Cisco IOS samples not available within the academic timeline (Botta et al. 2012).</w:t>
      </w:r>
    </w:p>
    <w:p w14:paraId="7A3D9C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10.4 Peer Review and Methodological Scrutiny</w:t>
      </w:r>
    </w:p>
    <w:p w14:paraId="28A9CA25"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methodology was peer-reviewed by the QA Lead and the Scrum Master before any metrics were reported (Beyer et al. 2016). Sprint retrospectives produced three corrections: window sensitivity is now characterised across three settings; accuracy is reported only for alert families with at least 30 test samples; and the FR-003 row's earlier 87% grouping figure is replaced with a description of what the cascade test actually demonstrated.</w:t>
      </w:r>
    </w:p>
    <w:p w14:paraId="14BCB9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7307E1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11. Conclusions and Recommendations</w:t>
      </w:r>
    </w:p>
    <w:p w14:paraId="0A62B81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14:paraId="083CFB8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Three analytical conclusions follow. First, the rule-based correlator is operationally adequate for the supported alert families: the cascade test confirmed the architectural argument that rule-based correlation fails in readable, debuggable ways. The blocking-emission limitation was diagnosed and traced to a specific code line during in-session testing, with the v1.1 fix scoped (Appendix C). Architectural transparency at this level is what an ML-based correlator could not have offered.</w:t>
      </w:r>
    </w:p>
    <w:p w14:paraId="26898A1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14:paraId="058247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Third, evaluation methodology is the project's most significant professional risk. Synthetic results without explicit external validity caveats could mislead a sponsor into making deployment decisions that underperform in production. Rigorous labelling of evaluation limitations is professional honesty, not academic self-deprecation.</w:t>
      </w:r>
    </w:p>
    <w:p w14:paraId="71FDE279"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11.1 Recommendations for v1 Development</w:t>
      </w:r>
    </w:p>
    <w:p w14:paraId="33E62828"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Production traffic capture: deploy a read-only mirror of live NOC alert streams to build a labelled dataset for rule validation and ML model training.</w:t>
      </w:r>
    </w:p>
    <w:p w14:paraId="1F9F4519"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Vendor syslog adaptation: instrument the categorisation engine against Cisco IOS, Juniper JunOS, and Arista EOS syslog samples.</w:t>
      </w:r>
    </w:p>
    <w:p w14:paraId="3C2A9D42"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Ticketing integration: ServiceNow or Jira API to embed incident records into the existing NOC audit workflow.</w:t>
      </w:r>
    </w:p>
    <w:p w14:paraId="49DFCA43"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Security audit: penetration testing of the ingestion endpoint and Ansible runbook supply-chain integrity verification.</w:t>
      </w:r>
    </w:p>
    <w:p w14:paraId="295F4BA6"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v1.1 targeted work: correlator non-blocking emission (snapshot-and-clear refactor); real-router-sourced traps (closes the nodeLabel='unknown' limitation); Netmiko swap for production deployment (single-component change due to runbook-layer enforcement); cold-start heartbeat health refinement; enable marr-correlator at boot.</w:t>
      </w:r>
    </w:p>
    <w:p w14:paraId="47E5FAF1"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5CD8CF02"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12. References</w:t>
      </w:r>
    </w:p>
    <w:p w14:paraId="048A694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Abbott, M. and Fisher, M. (2015) The Art of Scalability. 2nd ed. Boston: Addison-Wesley.</w:t>
      </w:r>
    </w:p>
    <w:p w14:paraId="4CF686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Bainbridge, L. (1983) Ironies of automation. Automatica, 19(6), pp.775-779.</w:t>
      </w:r>
    </w:p>
    <w:p w14:paraId="2886C9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Bass, L., Clements, P. and Kazman, R. (2021) Software Architecture in Practice. 4th ed. Boston: Addison-Wesley.</w:t>
      </w:r>
    </w:p>
    <w:p w14:paraId="55F70E0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BCS (2022) BCS Code of Conduct for IT Professionals. The Chartered Institute for IT.</w:t>
      </w:r>
    </w:p>
    <w:p w14:paraId="01E1709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Beyer, B., Jones, C., Petoff, J. and Murphy, N.R. (eds.) (2016) Site Reliability Engineering. Sebastopol: O'Reilly.</w:t>
      </w:r>
    </w:p>
    <w:p w14:paraId="40A83E9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Botta, A., De Donato, W., Persico, V. and Pescape, A. (2012) On the integration of cloud computing and Internet of Things. International Journal of Cloud Computing, 2(2), pp.131-149.</w:t>
      </w:r>
    </w:p>
    <w:p w14:paraId="117637D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Boutaba, R., Salahuddin, M.A., Limam, N., Ayoubi, S., Shahriar, N., Estrada-Solano, F. and Caicedo, O.M. (2018) A comprehensive survey on machine learning for networking: evolution, applications and research opportunities. Journal of Internet Services and Applications, 9(1), pp.1-99.</w:t>
      </w:r>
    </w:p>
    <w:p w14:paraId="7F4936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IEEE_Challenges (2024) Challenges in Network Alert Management. IEEE Communications Magazine.</w:t>
      </w:r>
    </w:p>
    <w:p w14:paraId="36AF6A7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IET (2023) IET Rules of Conduct. The Institution of Engineering and Technology.</w:t>
      </w:r>
    </w:p>
    <w:p w14:paraId="0293E0C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Kim, G., Humble, J., Debois, P. and Willis, J. (2016) The DevOps Handbook. Portland: IT Revolution Press.</w:t>
      </w:r>
    </w:p>
    <w:p w14:paraId="7E21DBD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Limoncelli, T.A., Hogan, C.J. and Chalup, S.R. (2014) The Practice of Cloud System Administration. Boston: Addison-Wesley.</w:t>
      </w:r>
    </w:p>
    <w:p w14:paraId="73FBF33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Merkel, D. (2014) Docker: lightweight Linux containers for consistent development and deployment. Linux Journal, 2014(239).</w:t>
      </w:r>
    </w:p>
    <w:p w14:paraId="23AE7E9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Nygard, M.T. (2018) Release It! 2nd ed. Raleigh: Pragmatic Bookshelf.</w:t>
      </w:r>
    </w:p>
    <w:p w14:paraId="783B39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Stallings, W. (2017) Network Security Essentials: Applications and Standards. 6th ed. Boston: Pearson.</w:t>
      </w:r>
    </w:p>
    <w:p w14:paraId="130E4B46"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Strauch, B. (2018) Ironies of automation: still unresolved after all these years. IEEE Transactions on Human-Machine Systems, 48(5), pp.419-433.</w:t>
      </w:r>
    </w:p>
    <w:p w14:paraId="266A65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ACCFA8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A: Risk Register</w:t>
      </w:r>
    </w:p>
    <w:p w14:paraId="04B470E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The following risk register links each identified risk to its originating or most relevant requirement identifier. Ratings reflect a combined likelihood-and-impact assessment at project initiation; all risks are subject to review at each sprint retrospective. The 3 May 2026 implementation session surfaced four additional risks (R-009 through R-012), which are added to the register below</w:t>
      </w:r>
      <w:r>
        <w:rPr>
          <w:rFonts w:ascii="Trebuchet MS" w:eastAsia="Trebuchet MS" w:hAnsi="Trebuchet MS" w:cs="Trebuchet MS"/>
          <w:kern w:val="0"/>
          <w:sz w:val="22"/>
          <w:szCs w:val="22"/>
          <w:lang w:eastAsia="en-GB"/>
          <w14:ligatures w14:val="none"/>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2519"/>
        <w:gridCol w:w="1215"/>
        <w:gridCol w:w="935"/>
        <w:gridCol w:w="935"/>
        <w:gridCol w:w="2030"/>
        <w:gridCol w:w="1312"/>
      </w:tblGrid>
      <w:tr w:rsidR="009E5E22" w:rsidRPr="009E5E22" w14:paraId="2A3ECEE6"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5C0F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ID</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BCD98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Risk</w:t>
            </w:r>
          </w:p>
        </w:tc>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7063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Likelihood</w:t>
            </w:r>
          </w:p>
        </w:tc>
        <w:tc>
          <w:tcPr>
            <w:tcW w:w="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A661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Impact</w:t>
            </w:r>
          </w:p>
        </w:tc>
        <w:tc>
          <w:tcPr>
            <w:tcW w:w="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E5D5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Rating</w:t>
            </w:r>
          </w:p>
        </w:tc>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041A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Mitigation</w:t>
            </w:r>
          </w:p>
        </w:tc>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54B8B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Req. Link</w:t>
            </w:r>
          </w:p>
        </w:tc>
      </w:tr>
      <w:tr w:rsidR="009E5E22" w:rsidRPr="009E5E22" w14:paraId="4A53BD5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40A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657CA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Rule drift: correlation rules calibrated on FRRouting fail against Cisco IOS or Juniper JunOS in production.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C08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8D38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38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6545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Categorisation-rule layer externalised to versioned YAML; reviewed against vendor-specific syslog samples before production use.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27F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 NFR-006</w:t>
            </w:r>
          </w:p>
        </w:tc>
      </w:tr>
      <w:tr w:rsidR="009E5E22" w:rsidRPr="009E5E22" w14:paraId="340526D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3247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E9F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Alert storm saturation: burst events exceeding 1,000/min cause queue backpressure and report delays.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DC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B307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F01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85A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partitioning and consumer-group horizontal scaling absorb overflow; queue depth monitoring triggers alerting at 80% capacity (NFR-002).</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CD9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NFR-002</w:t>
            </w:r>
          </w:p>
        </w:tc>
      </w:tr>
      <w:tr w:rsidR="009E5E22" w:rsidRPr="009E5E22" w14:paraId="44EC072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B09B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R-003</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52947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Privileged-execution channel compromise via Ansible runbook supply-chain or container-escape vector.</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79DE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0C7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0C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F3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Runbook task definitions reviewed at code review; runbook directory tree under Git; HashiCorp Vault for any future credentialed runbooks; audit log of every runbook execution.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89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FR-004, NFR-003</w:t>
            </w:r>
          </w:p>
        </w:tc>
      </w:tr>
      <w:tr w:rsidR="009E5E22" w:rsidRPr="009E5E22" w14:paraId="422F596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DBD8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R-004</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1E1A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Synthetic test data bias: evaluation accuracy metrics do not reflect production edge-case variety.</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2B3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F2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A2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C2C8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accuracy figures labelled as internal consistency metrics, not claims of external validity. Production gap explicitly scoped for Sprint 3 evaluation.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59E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Section 5</w:t>
            </w:r>
          </w:p>
        </w:tc>
      </w:tr>
      <w:tr w:rsidR="009E5E22" w:rsidRPr="009E5E22" w14:paraId="0D294D0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63D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R-005</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FC8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False correlation: unrelated independent faults attributed to a single root cause.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F93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C632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70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FC9E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Confidence indicator included in every categorisation output (FR-005); low-confidence events escalated to </w:t>
              <w:lastRenderedPageBreak/>
              <w:t>human review rather than auto-actioned.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65E5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FR-003, FR-005</w:t>
            </w:r>
          </w:p>
        </w:tc>
      </w:tr>
      <w:tr w:rsidR="009E5E22" w:rsidRPr="009E5E22" w14:paraId="174D75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CF9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R-006</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17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Correlation window miscalibration: window too narrow misses cascading faults; too wide over-aggregates independent incidents.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468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0C8E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A31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528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Window value externalised as a configurable parameter. Sensitivity analysis documented to quantify the accuracy trade-off at 30 s, 60 s, and 120 s settings.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7A2E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r>
      <w:tr w:rsidR="009E5E22" w:rsidRPr="009E5E22" w14:paraId="771BDA8E"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87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R-007</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1F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Automation platform as attack surface: the system itself becomes a high-value target for adversarial access to monitored networks.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B3C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FAA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Critical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797D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8D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Threat model documented; attack surface includes the ingestion listener, the Ansible runner, and the dashboard API. RBAC, TLS, and audit logging are mitigations; full security audit deferred to v1.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17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NFR-003</w:t>
            </w:r>
          </w:p>
        </w:tc>
      </w:tr>
      <w:tr w:rsidR="009E5E22" w:rsidRPr="009E5E22" w14:paraId="5B13D3B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C797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R-008</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D8C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Incomplete telemetry: real network alerts carry malformed or missing metadata that rule-based matching cannot handle.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986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4AC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F6DA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DD5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 explicitly operationalises tolerance for imperfect telemetry. Partial reports preferred over silent discard; escalation path provides manual fallback.</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87D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FR-008</w:t>
            </w:r>
          </w:p>
        </w:tc>
      </w:tr>
      <w:tr w:rsidR="009E5E22" w:rsidRPr="009E5E22" w14:paraId="019C10B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1E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R-009</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3DF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blocking-emission limitation: events arriving during the lease wait do not join the current grouped report; instead start a fresh post-emission window.</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6C48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E73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6EEB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7054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and surfaced at Section 9.4. Idempotency marker prevents redundant emission. Snapshot-and-clear refactor scoped for v1.1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83A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FR-003</w:t>
            </w:r>
          </w:p>
        </w:tc>
      </w:tr>
      <w:tr w:rsidR="009E5E22" w:rsidRPr="009E5E22" w14:paraId="44A3DD1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91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R-010</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5DD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success-on-registration vs heartbeat-health: playbook reports success when minions register but before first ActiveMQ heartbeat round-trip; an operator could believe the system is operational while it is still in heartbeat warmup.</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96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642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3AC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15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3.3. Recommended refinement: post-registration health-poll task before SUMMARY prints. Listed as v1.1 work in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C71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r>
      <w:tr w:rsidR="009E5E22" w:rsidRPr="009E5E22" w14:paraId="5680C19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674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R-011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52F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 Status text-scraping counts framework-internal Ansible tasks alongside operator-relevant tasks.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011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Always present</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C72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6F10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Low</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8E7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Documented in Lab Session Log Section 6.4. Honest about overall task fidelity but not yet curated. Refactor to map task names against playbook definition; logged as future work.</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5A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FR-005</w:t>
            </w:r>
          </w:p>
        </w:tc>
      </w:tr>
      <w:tr w:rsidR="009E5E22" w:rsidRPr="009E5E22" w14:paraId="3D1C6B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9040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R-012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035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Synthetic trap source: nodeLabel='unknown' for unmanaged-source traps. The diagnostic playbook fails to resolve the target container, surfacing the failure transparently per FR-008 but not exercising the FR-004 happy path against real devices.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43AF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Always present in v1.0</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70B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41B5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BD0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Strategy O (real-router-sourced traps) specified in Lab Session Log Section 13. Implementation estimated at 2-4 hours and scoped for v1.1 in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34D6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FR-001, FR-004</w:t>
            </w:r>
          </w:p>
        </w:tc>
      </w:tr>
    </w:tbl>
    <w:p w14:paraId="0666A186"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7. Risk register including the four new risks surfaced during the 3 May 2026 implementation session.</w:t>
      </w:r>
    </w:p>
    <w:p w14:paraId="2A4F4D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3F5912F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B: Technology Stack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70"/>
        <w:gridCol w:w="3563"/>
      </w:tblGrid>
      <w:tr w:rsidR="009E5E22" w:rsidRPr="009E5E22" w14:paraId="04A91AC0"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739E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Component</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834B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Technology</w:t>
            </w:r>
          </w:p>
        </w:tc>
        <w:tc>
          <w:tcPr>
            <w:tcW w:w="4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1FB66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Justification</w:t>
            </w:r>
          </w:p>
        </w:tc>
      </w:tr>
      <w:tr w:rsidR="009E5E22" w:rsidRPr="009E5E22" w14:paraId="0F0CB58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3DA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Ingestion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47F3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(pysnmp, syslog)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11C0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Native SNMP trap and syslog handling; lightweight listener footprint; in-container deployment via clab-marr-lab-snmp-notifier.</w:t>
            </w:r>
          </w:p>
        </w:tc>
      </w:tr>
      <w:tr w:rsidR="009E5E22" w:rsidRPr="009E5E22" w14:paraId="14191C8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DE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Message Broker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C3BB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Apache Kafka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AFD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Durable, partitioned, replayable event log; supports late-arriving consumers (the correlator was added mid-Sprint 3 without changes to the receiver). Topics: raw.alerts, snmp.traps, syslog.events.</w:t>
            </w:r>
          </w:p>
        </w:tc>
      </w:tr>
      <w:tr w:rsidR="009E5E22" w:rsidRPr="009E5E22" w14:paraId="3669719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7AD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Categorisation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D8D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YAML rulesets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98D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Externalised, versioned rulesets enable rule updates without code deployment.</w:t>
            </w:r>
          </w:p>
        </w:tc>
      </w:tr>
      <w:tr w:rsidR="009E5E22" w:rsidRPr="009E5E22" w14:paraId="5430EC0C"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715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326F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(stateful, windowed) with Redis backing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C0E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Configurable window; source-key derivation from nodeLabel + ifIndex; atomic SET NX EX lease primitive for single-emitter semantics; idempotency marker prevents duplicate emission.</w:t>
            </w:r>
          </w:p>
        </w:tc>
      </w:tr>
      <w:tr w:rsidR="009E5E22" w:rsidRPr="009E5E22" w14:paraId="09C14D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C61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State Store (Correlator)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1B0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Redis 7.2.13</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0A3C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Sorted-set windowing, atomic SET NX EX leases, per-event diagnostic context store with TTL. Key namespace marr:correlator:*.</w:t>
            </w:r>
          </w:p>
        </w:tc>
      </w:tr>
      <w:tr w:rsidR="009E5E22" w:rsidRPr="009E5E22" w14:paraId="72E9DAE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534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Diagnostic Executor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753E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 community.docker.docker_container_exec</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25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rsidR="009E5E22" w:rsidRPr="009E5E22" w14:paraId="2EBFFDA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ED1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Monitoring Platform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3E3E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Horizon 33.0.2</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503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rsidR="009E5E22" w:rsidRPr="009E5E22" w14:paraId="788A50F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72BF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Report Delivery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682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Python + Mattermost webhook</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C62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 xml:space="preserve">Single delivery surface for v1.0; minimal dependency surface; per-event and grouped (correlated) </w:t>
              <w:lastRenderedPageBreak/>
              <w:t>report paths share the same notifier module.</w:t>
            </w:r>
          </w:p>
        </w:tc>
      </w:tr>
      <w:tr w:rsidR="009E5E22" w:rsidRPr="009E5E22" w14:paraId="3A3363B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199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lastRenderedPageBreak/>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04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PostgreSQL 14</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DD41D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Relational schema for incident history and runbook store; audit log immutability enforced at DB level.</w:t>
            </w:r>
          </w:p>
        </w:tc>
      </w:tr>
      <w:tr w:rsidR="009E5E22" w:rsidRPr="009E5E22" w14:paraId="785CD9C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854D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Dashboard</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848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React.js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082A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Modern, browser-native; no specialist training required (FR-007).</w:t>
            </w:r>
          </w:p>
        </w:tc>
      </w:tr>
      <w:tr w:rsidR="009E5E22" w:rsidRPr="009E5E22" w14:paraId="298777B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C3D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Credential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F02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HashiCorp Vault 1.16</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03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No credentials in version control or environment files; dynamic secret injection. Currently provisioned but not yet exercising any v1.0 runbook (Ansible runbooks against Containerlab require no external credentials); reserved for v1 production-adjacent runbooks.</w:t>
            </w:r>
          </w:p>
        </w:tc>
      </w:tr>
      <w:tr w:rsidR="009E5E22" w:rsidRPr="009E5E22" w14:paraId="15B21E7F"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7A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Test Environment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BCA3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Containerlab + FRRouting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C90A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Runs on team hardware; integrates with Docker Compose; acknowledged FRR/IOS fidelity gap.</w:t>
            </w:r>
          </w:p>
        </w:tc>
      </w:tr>
      <w:tr w:rsidR="009E5E22" w:rsidRPr="009E5E22" w14:paraId="4E7DC3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8A4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Service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2B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systemd (host-side) + Docker Compose (containers)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64FB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rsidR="009E5E22" w:rsidRPr="009E5E22" w14:paraId="7C2DD709"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CF52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Deployment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BE6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 Ansible</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EFE4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Single-command environment via lab-start.yml; reproducible across team machines (Merkel 2014).</w:t>
            </w:r>
          </w:p>
        </w:tc>
      </w:tr>
    </w:tbl>
    <w:p w14:paraId="059F6E08"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8. Technology stack and component justification.</w:t>
      </w:r>
    </w:p>
    <w:p w14:paraId="504CE2D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B.1 Architectural Trade-off Rationale</w:t>
      </w:r>
    </w:p>
    <w:p w14:paraId="30A6A2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technology selections in Table 8 follow from explicit trade-off analysis. The four most significant decisions are recorded here for reviewer scrutiny.</w:t>
      </w:r>
    </w:p>
    <w:p w14:paraId="03A7826C"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Apache Kafka over RabbitMQ. </w:t>
      </w:r>
      <w:r>
        <w:rPr>
          <w:rFonts w:ascii="Trebuchet MS" w:eastAsia="Trebuchet MS" w:hAnsi="Trebuchet MS" w:cs="Trebuchet MS"/>
          <w:kern w:val="0"/>
          <w:lang w:eastAsia="en-GB"/>
          <w14:ligatures w14:val="none"/>
        </w:rPr>
        <w:t xml:space="preserve">Kafka offers durable, partitioned, replayable event logs that support late-arriving consumers; RabbitMQ's queue-and-consume model is simpler operationally but does not preserve the temporal record needed for a correlator added after the receiver. </w:t>
      </w:r>
    </w:p>
    <w:p w14:paraId="4C430AF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architectural benefit of replayability was realised in practice when the correlator was added mid-Sprint 3 by subscribing to existing topics with no change to the receiver. </w:t>
      </w:r>
    </w:p>
    <w:p w14:paraId="4308027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MARR Kafka deployment is intentionally minimal (single broker, three topics, single partition each); cluster operations overhead does not materialise at this scale. Multi-broker clustering is identified as v1 hardening work.</w:t>
      </w:r>
    </w:p>
    <w:p w14:paraId="25526DB0"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p>
    <w:p w14:paraId="6646BB19"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lastRenderedPageBreak/>
        <w:t xml:space="preserve">Rule-based correlation, ML deferred </w:t>
      </w:r>
    </w:p>
    <w:p w14:paraId="428496D5"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Rule-based correlation fails in transparent, debuggable ways that an engineer can correct under operational pressure; ML failure modes are statistical, not logical. The architectural provision for an ML plugin in v1 reflects the correct sequencing: build the labelled dataset first, then build the model (Boutaba et al. 2018).</w:t>
      </w:r>
    </w:p>
    <w:p w14:paraId="739B40AB"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Pr>
          <w:rFonts w:ascii="Trebuchet MS" w:eastAsia="Trebuchet MS" w:hAnsi="Trebuchet MS" w:cs="Trebuchet MS"/>
          <w:b/>
          <w:bCs/>
          <w:kern w:val="0"/>
          <w:sz w:val="28"/>
          <w:szCs w:val="28"/>
          <w:lang w:eastAsia="en-GB"/>
          <w14:ligatures w14:val="none"/>
        </w:rPr>
        <w:t xml:space="preserve">Ansible over Netmiko for v1.0 </w:t>
      </w:r>
    </w:p>
    <w:p w14:paraId="260CD16A"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community.docker.docker_container_exec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14:paraId="54CA9B8F"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r>
        <w:rPr>
          <w:rFonts w:ascii="Trebuchet MS" w:eastAsia="Trebuchet MS" w:hAnsi="Trebuchet MS" w:cs="Trebuchet MS"/>
          <w:b/>
          <w:bCs/>
          <w:kern w:val="0"/>
          <w:lang w:eastAsia="en-GB"/>
          <w14:ligatures w14:val="none"/>
        </w:rPr>
        <w:t xml:space="preserve">Containerlab/FRRouting over Cisco Modeling Labs </w:t>
      </w:r>
    </w:p>
    <w:p w14:paraId="7BBEA4CC"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14:paraId="5BC51CDF"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br w:type="page"/>
      </w:r>
    </w:p>
    <w:p w14:paraId="33F16D1B"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C: Correlation Engine Implementation and Window Sensitivity</w:t>
      </w:r>
    </w:p>
    <w:p w14:paraId="4FF37355"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C.1 Correlator Implementation</w:t>
      </w:r>
    </w:p>
    <w:p w14:paraId="499C6B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FR-003 (correlation) and the suppression of redundant per-event reports are implemented as a separate process from the receiver, communicating through Kafka and Redis rather than through in-process function calls. This separation is a deliberate architectural choice.</w:t>
      </w:r>
    </w:p>
    <w:p w14:paraId="10D515B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The correlator subscribes to the same Kafka topics that the receiver writes to (raw.alerts and snmp.traps) with consumer-group identity 'marr-correlator' and auto_offset_reset='latest'. </w:t>
      </w:r>
    </w:p>
    <w:p w14:paraId="59AF163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For each event, the correlator computes a synthetic source key from nodeLabel and the SNMP ifIndex extracted from the event's varBinds, then ZADDs into a Redis sorted set keyed by 'marr:correlator:window:&lt;source_key&gt;'. </w:t>
      </w:r>
    </w:p>
    <w:p w14:paraId="2CF475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When the sorted-set count reaches a threshold (default 2), the correlator attempts an atomic SET NX EX on a lease key. The first correlator instance to acquire the lease becomes the single emitter; any subsequent correlator instance that observes the threshold but fails the SET NX returns to the consumer loop. This is the standard Redis-mediated single-emitter primitive.</w:t>
      </w:r>
    </w:p>
    <w:p w14:paraId="394CA5D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when the correlator is unavailable, it gracefully degrades to per-event flow, never to silent alert loss.</w:t>
      </w:r>
    </w:p>
    <w:p w14:paraId="4C81EF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14:paraId="2FBFCBA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t xml:space="preserve">Three correctness properties. </w:t>
      </w:r>
      <w:r>
        <w:rPr>
          <w:rFonts w:ascii="Trebuchet MS" w:eastAsia="Trebuchet MS" w:hAnsi="Trebuchet MS" w:cs="Trebuchet MS"/>
          <w:kern w:val="0"/>
          <w:lang w:eastAsia="en-GB"/>
          <w14:ligatures w14:val="none"/>
        </w:rPr>
        <w:t>First, the correlator and the receiver cannot disagree on source-key derivation because they import from a shared module. Second, the system is fail-safe in the direction that matters: when the correlator is unavailable, it degrades to per-event reporting rather than silent suppression. Third, the idempotency marker means even if the lease primitive fails, the grouped report is emitted at most once per window per source key.</w:t>
      </w:r>
    </w:p>
    <w:p w14:paraId="6BF3EF5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b/>
          <w:bCs/>
          <w:kern w:val="0"/>
          <w:lang w:eastAsia="en-GB"/>
          <w14:ligatures w14:val="none"/>
        </w:rPr>
        <w:lastRenderedPageBreak/>
        <w:t xml:space="preserve">Documented v1 limitation. </w:t>
      </w:r>
      <w:r>
        <w:rPr>
          <w:rFonts w:ascii="Trebuchet MS" w:eastAsia="Trebuchet MS" w:hAnsi="Trebuchet MS" w:cs="Trebuchet MS"/>
          <w:kern w:val="0"/>
          <w:lang w:eastAsia="en-GB"/>
          <w14:ligatures w14:val="none"/>
        </w:rPr>
        <w:t>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(the lease holder reads the window contents at acquisition time, accumulates further events during the wait, and emits the union). Approximately one day of focused implementation work.</w:t>
      </w:r>
    </w:p>
    <w:p w14:paraId="08321FF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14:paraId="06004F1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C.2 Window Sensitivity Analysis</w:t>
      </w:r>
    </w:p>
    <w:p w14:paraId="54E63C4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correlation window is the most significant tunable parameter affecting correlator precision and recall. Setting it too narrow splits cascading faults across multiple groups (interface-down triggering OSPF neighbour-loss after a 4-second OSPF dead-interval); setting it too wide aggregates independent faults into spurious compound incidents. Sprint 3 evaluation characterises the trade-off across 30 s, 60 s, and 120 s settings using Scenario A and a synthetic dual-fault scenario.</w:t>
      </w:r>
    </w:p>
    <w:p w14:paraId="1FA4633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lang w:eastAsia="en-GB"/>
          <w14:ligatures w14:val="none"/>
        </w:rPr>
        <w:t xml:space="preserve">The default 30-second window was chosen as the 3 May starting point, based on the assumption that link-failure cascades typically complete within 10-15 seconds in the FRR topology. The parameter is externalised so production deployment can tune it without a </w:t>
      </w:r>
      <w:r>
        <w:rPr>
          <w:rFonts w:ascii="Trebuchet MS" w:eastAsia="Trebuchet MS" w:hAnsi="Trebuchet MS" w:cs="Trebuchet MS"/>
          <w:kern w:val="0"/>
          <w:sz w:val="22"/>
          <w:szCs w:val="22"/>
          <w:lang w:eastAsia="en-GB"/>
          <w14:ligatures w14:val="none"/>
        </w:rPr>
        <w:t>rebuild.</w:t>
      </w:r>
    </w:p>
    <w:p w14:paraId="007EF7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1EA682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D: System Operational Evidence</w:t>
      </w:r>
    </w:p>
    <w:p w14:paraId="38AB95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appendix records the artefacts that substantiate the Class A results in Section 10.1. Every entry is reproducible from the v4.0 release of the project repository, plus the in-session work of 3 May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00"/>
      </w:tblGrid>
      <w:tr w:rsidR="009E5E22" w:rsidRPr="009E5E22" w14:paraId="6A8FF6C9"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9D32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E997E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1998B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Source / Location</w:t>
            </w:r>
          </w:p>
        </w:tc>
      </w:tr>
      <w:tr w:rsidR="009E5E22" w:rsidRPr="009E5E22" w14:paraId="769123D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B6AC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CA5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ingestion and Kafka publication trace.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A32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D1 below. Captured 3 May 2026; Lab Session Log Section 5.</w:t>
            </w:r>
          </w:p>
        </w:tc>
      </w:tr>
      <w:tr w:rsidR="009E5E22" w:rsidRPr="009E5E22" w14:paraId="6FEC48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1884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E73D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Correlated incident report from the cascade test.</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FCC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D2 below. Captured 3 May 2026; Lab Session Log Section 9.11.</w:t>
            </w:r>
          </w:p>
        </w:tc>
      </w:tr>
      <w:tr w:rsidR="009E5E22" w:rsidRPr="009E5E22" w14:paraId="43A587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51B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1AC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Per-event diagnostic report with corrected Diag Status.</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3D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D3 below. Captured 3 May 2026; Lab Session Log Section 6.</w:t>
            </w:r>
          </w:p>
        </w:tc>
      </w:tr>
      <w:tr w:rsidR="009E5E22" w:rsidRPr="009E5E22" w14:paraId="4D88B8A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0EE8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C60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Partial incident report from malformed input (FR-008).</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F011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D4 below. Captured 3 May 2026; Lab Session Log Section 6.5.</w:t>
            </w:r>
          </w:p>
        </w:tc>
      </w:tr>
      <w:tr w:rsidR="009E5E22" w:rsidRPr="009E5E22" w14:paraId="233E080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19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A1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Cold-start playbook output (Deployment evidence).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CEE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PLAY RECAP: ok=43, changed=11, failed=0, ignored=2 (3 May 2026 cold start). Recovery run after workstation crash: ok=38, changed=9, failed=0, ignored=0. Lab Session Log Section 3 and 12.</w:t>
            </w:r>
          </w:p>
        </w:tc>
      </w:tr>
      <w:tr w:rsidR="009E5E22" w:rsidRPr="009E5E22" w14:paraId="3BE8E9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75E9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D6</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5BE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REST API minion check after rename and post-recovery.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331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curl -s -u admin:admin http://localhost:8980/opennms/rest/minions returning totalCount=2; solent-1-minion-01 status=up location=Solent-1; solent-2-minion-01 status=up location=Solent-2. Locations preserved through workstation crash and lab restart.</w:t>
            </w:r>
          </w:p>
        </w:tc>
      </w:tr>
      <w:tr w:rsidR="009E5E22" w:rsidRPr="009E5E22" w14:paraId="74D1865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FB4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D7</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A18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Container inventory.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FB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docker compose ps listing all active containers across marr-net (172.21.0.0/16) and marr-reporting (172.22.0.0/24).</w:t>
            </w:r>
          </w:p>
        </w:tc>
      </w:tr>
      <w:tr w:rsidR="009E5E22" w:rsidRPr="009E5E22" w14:paraId="3C7559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C82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D8</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F73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release tag history.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7B1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v1.0 (ab943c3) through v4.0 (076ea99); annotated tags pushed to both KariocaMarron and com617-industrial-2025-1 remotes.</w:t>
            </w:r>
          </w:p>
        </w:tc>
      </w:tr>
      <w:tr w:rsidR="009E5E22" w:rsidRPr="009E5E22" w14:paraId="7E57F63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C2B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D9</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FB9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Repository remote configuration.</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210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git remote -v output confirming dual-remote push strategy.</w:t>
            </w:r>
          </w:p>
        </w:tc>
      </w:tr>
    </w:tbl>
    <w:p w14:paraId="0F8ED0D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9. System operational evidence index.</w:t>
      </w:r>
    </w:p>
    <w:p w14:paraId="74EDAB21"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5C3F0D9D" wp14:editId="79FA384B">
            <wp:extent cx="4381500" cy="4867275"/>
            <wp:effectExtent l="0" t="0" r="0" b="0"/>
            <wp:docPr id="1091571673" name="Picture 109157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4867275"/>
                    </a:xfrm>
                    <a:prstGeom prst="rect">
                      <a:avLst/>
                    </a:prstGeom>
                  </pic:spPr>
                </pic:pic>
              </a:graphicData>
            </a:graphic>
          </wp:inline>
        </w:drawing>
      </w:r>
    </w:p>
    <w:p w14:paraId="5CCAFC95"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D1. SNMP trap ingestion and Kafka publication trace (FR-001 evidence).</w:t>
      </w:r>
    </w:p>
    <w:p w14:paraId="7248DA0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This capture shows the complete ingestion path from SNMP trap injection through the listener service to Kafka topic publication. Measured latency of 197ms (trap-to-listener) and 2.538 s end-to-end confirms compliance with NFR-004 performance constraints and demonstrates reliable event normalisation and pipeline entry under test conditions.</w:t>
      </w:r>
    </w:p>
    <w:p w14:paraId="6FE17969"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0F4E838B" wp14:editId="52192D5B">
            <wp:extent cx="5524500" cy="2733675"/>
            <wp:effectExtent l="0" t="0" r="0" b="0"/>
            <wp:docPr id="1503502684" name="Picture 15035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33675"/>
                    </a:xfrm>
                    <a:prstGeom prst="rect">
                      <a:avLst/>
                    </a:prstGeom>
                  </pic:spPr>
                </pic:pic>
              </a:graphicData>
            </a:graphic>
          </wp:inline>
        </w:drawing>
      </w:r>
    </w:p>
    <w:p w14:paraId="37FBB1F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D2. Correlated incident report generated from cascade test (FR-003 evidence).</w:t>
      </w:r>
    </w:p>
    <w:p w14:paraId="4DE6740B"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14:paraId="1CFEAFC0"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drawing>
          <wp:inline distT="0" distB="0" distL="0" distR="0" wp14:anchorId="2AEDEF4D" wp14:editId="05021E64">
            <wp:extent cx="5524500" cy="2990850"/>
            <wp:effectExtent l="0" t="0" r="0" b="0"/>
            <wp:docPr id="1115725079" name="Picture 11157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90850"/>
                    </a:xfrm>
                    <a:prstGeom prst="rect">
                      <a:avLst/>
                    </a:prstGeom>
                  </pic:spPr>
                </pic:pic>
              </a:graphicData>
            </a:graphic>
          </wp:inline>
        </w:drawing>
      </w:r>
    </w:p>
    <w:p w14:paraId="71A925D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D3. Per-event diagnostic report with corrected Diag Status output (FR-005 evidence).</w:t>
      </w:r>
    </w:p>
    <w:p w14:paraId="011DF284"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report demonstrates successful end-to-end execution of ingestion, diagnostics, and reporting, with accurate task-level status ('2/6 ok, 4 failed') replacing the earlier false-positive success indicator. This confirms reporting fidelity and transparency in diagnostic output.</w:t>
      </w:r>
    </w:p>
    <w:p w14:paraId="74ED6F0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3D548565" wp14:editId="6E8E4DD4">
            <wp:extent cx="5524500" cy="2990850"/>
            <wp:effectExtent l="0" t="0" r="0" b="0"/>
            <wp:docPr id="1521166535" name="Picture 152116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90850"/>
                    </a:xfrm>
                    <a:prstGeom prst="rect">
                      <a:avLst/>
                    </a:prstGeom>
                  </pic:spPr>
                </pic:pic>
              </a:graphicData>
            </a:graphic>
          </wp:inline>
        </w:drawing>
      </w:r>
    </w:p>
    <w:p w14:paraId="53C8EE14"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D4. Partial incident report generated from malformed input (FR-008 evidence).</w:t>
      </w:r>
    </w:p>
    <w:p w14:paraId="5E6263C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14:paraId="7F9AEC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757AC1E5"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E: Pipeline Test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04ABA213"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6D572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AB5D2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5A70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54D1AE1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5622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470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F6228"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Pr>
                <w:rFonts w:ascii="Trebuchet MS" w:eastAsia="Trebuchet MS" w:hAnsi="Trebuchet MS" w:cs="Trebuchet MS"/>
                <w:kern w:val="0"/>
                <w:sz w:val="20"/>
                <w:szCs w:val="20"/>
                <w:lang w:eastAsia="en-GB"/>
                <w14:ligatures w14:val="none"/>
              </w:rPr>
              <w:t xml:space="preserve">Two-plane architecture diagram embedded in Section 9.1 showing all five pipeline stages, real component names from v4.0 lab, addresses verified 3 May 2026, and colour-coded data flows. </w:t>
            </w:r>
          </w:p>
          <w:p w14:paraId="28B578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Source: figure_E1_marr_architecture.svg.</w:t>
            </w:r>
          </w:p>
        </w:tc>
      </w:tr>
      <w:tr w:rsidR="009E5E22" w:rsidRPr="009E5E22" w14:paraId="380EFDA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0BFF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01F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Correlator integration log (FR-003 traceability).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C86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rsidR="009E5E22" w:rsidRPr="009E5E22" w14:paraId="0FECE23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5EF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490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Receiver suppression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CDE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rsidR="009E5E22" w:rsidRPr="009E5E22" w14:paraId="2CF4CF6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AF5F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228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Ansible diagnostic runbook execution trace (FR-004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F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as Figure E4 below. Captured from marr-receiver.service journal, 3 May 2026.</w:t>
            </w:r>
          </w:p>
        </w:tc>
      </w:tr>
      <w:tr w:rsidR="009E5E22" w:rsidRPr="009E5E22" w14:paraId="78BABC4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C4736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B6A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 trap injection traces.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DA3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snmptrap commands used for evidence capture (ifIndex values 1-99 and the cascade values 10/11, 20/21, 30/31, 88) and /tmp/snmp.log excerpts inside clab-marr-lab-snmp-notifier.</w:t>
            </w:r>
          </w:p>
        </w:tc>
      </w:tr>
      <w:tr w:rsidR="009E5E22" w:rsidRPr="009E5E22" w14:paraId="4DDB527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51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647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Race-condition diagnosis and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452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rsidR="009E5E22" w:rsidRPr="009E5E22" w14:paraId="5BB606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817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E7</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BD46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Dotenv configuration-loading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56382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14:paraId="71332BE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10. Pipeline test evidence supporting Section 10.1.</w:t>
      </w:r>
    </w:p>
    <w:p w14:paraId="5328E76E"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noProof/>
          <w:kern w:val="0"/>
          <w:sz w:val="22"/>
          <w:szCs w:val="22"/>
          <w:lang w:eastAsia="en-GB"/>
          <w14:ligatures w14:val="none"/>
        </w:rPr>
        <w:lastRenderedPageBreak/>
        <w:drawing>
          <wp:inline distT="0" distB="0" distL="0" distR="0" wp14:anchorId="644CAB8F" wp14:editId="6C5E7C5D">
            <wp:extent cx="5524500" cy="3019425"/>
            <wp:effectExtent l="0" t="0" r="0" b="0"/>
            <wp:docPr id="1534203987" name="Picture 15342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19425"/>
                    </a:xfrm>
                    <a:prstGeom prst="rect">
                      <a:avLst/>
                    </a:prstGeom>
                  </pic:spPr>
                </pic:pic>
              </a:graphicData>
            </a:graphic>
          </wp:inline>
        </w:drawing>
      </w:r>
    </w:p>
    <w:p w14:paraId="634359F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Figure E4. Ansible diagnostic runbook execution trace (FR-004 evidence).</w:t>
      </w:r>
    </w:p>
    <w:p w14:paraId="29DF9EB1"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w:t>
      </w:r>
    </w:p>
    <w:p w14:paraId="02D7C21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Pr>
          <w:rFonts w:ascii="Trebuchet MS" w:eastAsia="Trebuchet MS" w:hAnsi="Trebuchet MS" w:cs="Trebuchet MS"/>
          <w:kern w:val="0"/>
          <w:lang w:eastAsia="en-GB"/>
          <w14:ligatures w14:val="none"/>
        </w:rPr>
        <w:t>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14:paraId="2A3DEB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24895D0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F: Architecture Artefacts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62BA47AB"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4C366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73A98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DF7B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788F54A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C56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A84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network topology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0C2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Two-plane network: marr-net (172.21.0.0/16) operational plane and marr-reporting (172.22.0.0/24) observability plane.</w:t>
            </w:r>
          </w:p>
        </w:tc>
      </w:tr>
      <w:tr w:rsidR="009E5E22" w:rsidRPr="009E5E22" w14:paraId="7DA2ED2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FCF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A8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BGP mesh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928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AS65001-AS65002-AS65003 mesh; engineered design break on r1-hamhung and r2-chongjin links to permit fault-injection testing.</w:t>
            </w:r>
          </w:p>
        </w:tc>
      </w:tr>
      <w:tr w:rsidR="009E5E22" w:rsidRPr="009E5E22" w14:paraId="5653208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1A7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BE1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OpenNMS configuration excerpt.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D61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Beanshell event-script and event filter definitions used during early Sprint 1 work; OpenNMS now runs in observation mode rather than as part of the live triage path (see Section 9.1 and Figure E1).</w:t>
            </w:r>
          </w:p>
        </w:tc>
      </w:tr>
      <w:tr w:rsidR="009E5E22" w:rsidRPr="009E5E22" w14:paraId="56575F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3F4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EE6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Sample Ansible runbook.</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285B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diagnose_link_down.yml: read-only show interface, show ip ospf neighbor, show ip bgp summary, show ip route. The runbook task definitions are the architectural enforcement point for the read-only allowlist (Section 9.3).</w:t>
            </w:r>
          </w:p>
        </w:tc>
      </w:tr>
      <w:tr w:rsidR="009E5E22" w:rsidRPr="009E5E22" w14:paraId="11201E35"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C835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6C6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Kafka topic listing.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0F3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raw.alerts, snmp.traps, syslog.events - confirmed via kafka-topics --list against the marr-kafka broker.</w:t>
            </w:r>
          </w:p>
        </w:tc>
      </w:tr>
      <w:tr w:rsidR="009E5E22" w:rsidRPr="009E5E22" w14:paraId="2D05F0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38D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F6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B34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14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Embedded in Section 9.1; captures the deployed v4.0 architecture including the new correlator and the renamed minion locations.</w:t>
            </w:r>
          </w:p>
        </w:tc>
      </w:tr>
    </w:tbl>
    <w:p w14:paraId="57F9C663"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11. Architecture artefact index.</w:t>
      </w:r>
    </w:p>
    <w:p w14:paraId="243CA6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45CF0A6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G: Project Management Artefacts</w:t>
      </w:r>
    </w:p>
    <w:p w14:paraId="32CDEED3"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5A77A36F"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14FE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19174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1DE8C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kern w:val="0"/>
                <w:sz w:val="20"/>
                <w:szCs w:val="20"/>
                <w:lang w:eastAsia="en-GB"/>
                <w14:ligatures w14:val="none"/>
              </w:rPr>
              <w:t>Description</w:t>
            </w:r>
          </w:p>
        </w:tc>
      </w:tr>
      <w:tr w:rsidR="009E5E22" w:rsidRPr="009E5E22" w14:paraId="22123C0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5B9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2D9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1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3825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End-of-Sprint-1 reflection: cold-start playbook stabilisation; minion until-block fix at commit 076ea99.</w:t>
            </w:r>
          </w:p>
        </w:tc>
      </w:tr>
      <w:tr w:rsidR="009E5E22" w:rsidRPr="009E5E22" w14:paraId="0877398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9676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31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2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B3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End-of-Sprint-2 reflection: ingestion path stabilisation; classifier corpus authoring; Diag Status fidelity issue identified for Sprint 3.</w:t>
            </w:r>
          </w:p>
        </w:tc>
      </w:tr>
      <w:tr w:rsidR="009E5E22" w:rsidRPr="009E5E22" w14:paraId="5D53C26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77D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D3F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Sprint 3 implementation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D27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Lab Session Log of 3 May 2026 covering minion rename, Diag Status fix, correlator implementation including in-session race-condition and dotenv fixes, and post-crash recovery.</w:t>
            </w:r>
          </w:p>
        </w:tc>
      </w:tr>
      <w:tr w:rsidR="009E5E22" w:rsidRPr="009E5E22" w14:paraId="18C294D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717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08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Chronological lab steps document.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B51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My_Lab_Steps_May_2026.docx: step-by-step record of every operational action taken in the 3 May session, structured for direct reproduction by a future operator.</w:t>
            </w:r>
          </w:p>
        </w:tc>
      </w:tr>
      <w:tr w:rsidR="009E5E22" w:rsidRPr="009E5E22" w14:paraId="105898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63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G5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94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Dual-remote git history.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BF7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0"/>
                <w:szCs w:val="20"/>
                <w:lang w:eastAsia="en-GB"/>
                <w14:ligatures w14:val="none"/>
              </w:rPr>
              <w:t>All work pushed to both KariocaMarron/com617-AutomatedNetworkTroubleshooting-1 (origin) and com617-industrial-2025-1/com617-AutomatedNetworkTroubleshooting-1 (upstream) at every significant milestone.</w:t>
            </w:r>
          </w:p>
        </w:tc>
      </w:tr>
    </w:tbl>
    <w:p w14:paraId="31E15EA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Pr>
          <w:rFonts w:ascii="Trebuchet MS" w:eastAsia="Trebuchet MS" w:hAnsi="Trebuchet MS" w:cs="Trebuchet MS"/>
          <w:b/>
          <w:bCs/>
          <w:i/>
          <w:iCs/>
          <w:kern w:val="0"/>
          <w:sz w:val="20"/>
          <w:szCs w:val="20"/>
          <w:lang w:eastAsia="en-GB"/>
          <w14:ligatures w14:val="none"/>
        </w:rPr>
        <w:t>Table 12. Project management artefact index.</w:t>
      </w:r>
    </w:p>
    <w:p w14:paraId="2DF9B3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5F5D30CD"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H: Governance and Compliance</w:t>
      </w:r>
    </w:p>
    <w:p w14:paraId="152610ED"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governance and professional-conduct framing of the project.</w:t>
      </w:r>
    </w:p>
    <w:p w14:paraId="70640F8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H.1 BCS Code of Conduct alignment</w:t>
      </w:r>
    </w:p>
    <w:p w14:paraId="49B4165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14:paraId="1CCADEB4"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H.2 IET Rules of Conduct alignment</w:t>
      </w:r>
    </w:p>
    <w:p w14:paraId="2DCE6EF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IET Rules of Conduct (IET 2023) emphasise professional competence in digital systems. The decision to defer ML-based correlation until labelled production data exists (Section 1; Section 4.2; Section 9.2) is a direct application of the IET principle that practitioners should not deploy capabilities outside their evaluable competence.</w:t>
      </w:r>
    </w:p>
    <w:p w14:paraId="6383CF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H.3 Data protection considerations</w:t>
      </w:r>
    </w:p>
    <w:p w14:paraId="52C8A02D"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MARR processes operational telemetry from network devices, not personal data. UK GDPR obligations do not apply to the data flows in scope for the MVP. If the system is extended to ingest user-attributable data (e.g. authentication failure events that include user identifiers) in v1, a Data Protection Impact Assessment is required before deployment.</w:t>
      </w:r>
    </w:p>
    <w:p w14:paraId="75B5C5F8"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H.4 Repository and licensing</w:t>
      </w:r>
    </w:p>
    <w:p w14:paraId="5978C350"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The repository is dual-pushed to KariocaMarron/com617-AutomatedNetworkTroubleshooting-1 and com617-industrial-2025-1/com617-AutomatedNetworkTroubleshooting-1. The university repository is the authoritative submission location. Licensing is internal to the academic project; redistribution is governed by the COM617 module assessment terms.</w:t>
      </w:r>
    </w:p>
    <w:p w14:paraId="08E9B6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br w:type="page"/>
      </w:r>
    </w:p>
    <w:p w14:paraId="090EB9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Pr>
          <w:rFonts w:ascii="Trebuchet MS" w:eastAsia="Trebuchet MS" w:hAnsi="Trebuchet MS" w:cs="Trebuchet MS"/>
          <w:b/>
          <w:bCs/>
          <w:color w:val="000000"/>
          <w:kern w:val="0"/>
          <w:sz w:val="32"/>
          <w:szCs w:val="32"/>
          <w:lang w:eastAsia="en-GB"/>
          <w14:ligatures w14:val="none"/>
        </w:rPr>
        <w:lastRenderedPageBreak/>
        <w:t>Appendix I: AI Usage Declaration</w:t>
      </w:r>
    </w:p>
    <w:p w14:paraId="14F29D9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This appendix records the use of AI tools in producing this Project Initiation Document, in compliance with the COM617 assessment brief and Southampton Solent University's AI and Academic Integrity Policy.</w:t>
      </w:r>
    </w:p>
    <w:p w14:paraId="3A9370A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Pr>
          <w:rFonts w:ascii="Trebuchet MS" w:eastAsia="Trebuchet MS" w:hAnsi="Trebuchet MS" w:cs="Trebuchet MS"/>
          <w:b/>
          <w:bCs/>
          <w:color w:val="000000"/>
          <w:kern w:val="0"/>
          <w:sz w:val="28"/>
          <w:szCs w:val="28"/>
          <w:lang w:eastAsia="en-GB"/>
          <w14:ligatures w14:val="none"/>
        </w:rPr>
        <w:t>I. 1 Tools used</w:t>
      </w:r>
    </w:p>
    <w:p w14:paraId="4554D01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AI-assisted tools, including GitHub Copilot, Google Gemini, ChatGPT, and Grammarly, were used to support drafting, editing, and improving the clarity and structure of this document.</w:t>
      </w:r>
    </w:p>
    <w:p w14:paraId="61BFE90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system design, implementation, testing, and evaluation were carried out independently by the team. AI tools were not used to generate evidence, code implementation decisions, or experimental results.</w:t>
      </w:r>
    </w:p>
    <w:p w14:paraId="1A5AC5B9"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Pr>
          <w:rFonts w:ascii="Trebuchet MS" w:eastAsia="Trebuchet MS" w:hAnsi="Trebuchet MS" w:cs="Trebuchet MS"/>
          <w:kern w:val="0"/>
          <w:sz w:val="22"/>
          <w:szCs w:val="22"/>
          <w:lang w:eastAsia="en-GB"/>
          <w14:ligatures w14:val="none"/>
        </w:rPr>
        <w:t>All AI-assisted content was reviewed, verified, and edited by the team. The authors retain full responsibility for the accuracy, originality, and integrity of this submission.</w:t>
      </w:r>
    </w:p>
    <w:p w14:paraId="75E3DBB6" w14:textId="77777777" w:rsidR="009E5E22" w:rsidRDefault="009E5E22"/>
    <w:sectPr w:rsidR="009E5E22" w:rsidSect="009E5E22">
      <w:headerReference w:type="default" r:id="rId10"/>
      <w:footerReference w:type="default" r:id="rId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07C3" w14:textId="77777777" w:rsidR="009E5E22" w:rsidRDefault="009E5E22">
    <w:pPr>
      <w:jc w:val="center"/>
    </w:pPr>
    <w:r>
      <w:rPr>
        <w:color w:val="666666"/>
        <w:sz w:val="18"/>
        <w:szCs w:val="18"/>
      </w:rPr>
      <w:t xml:space="preserve">Page </w:t>
    </w:r>
    <w:r>
      <w:fldChar w:fldCharType="begin"/>
    </w:r>
    <w:r>
      <w:instrText>PAGE</w:instrText>
    </w:r>
    <w:r>
      <w:fldChar w:fldCharType="separate"/>
    </w:r>
    <w:r>
      <w:rPr>
        <w:noProof/>
      </w:rPr>
      <w:t>1</w:t>
    </w:r>
    <w:r>
      <w:fldChar w:fldCharType="end"/>
    </w:r>
    <w:r>
      <w:rPr>
        <w:color w:val="666666"/>
        <w:sz w:val="18"/>
        <w:szCs w:val="18"/>
      </w:rPr>
      <w:t xml:space="preserve"> of </w:t>
    </w:r>
    <w:r>
      <w:fldChar w:fldCharType="begin"/>
    </w:r>
    <w:r>
      <w:instrText>NUMPAGES</w:instrText>
    </w:r>
    <w:r>
      <w:fldChar w:fldCharType="separate"/>
    </w:r>
    <w:r>
      <w:rPr>
        <w:noProof/>
      </w:rPr>
      <w:t>2</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FFCE" w14:textId="77777777" w:rsidR="009E5E22" w:rsidRDefault="009E5E22">
    <w:pPr>
      <w:jc w:val="right"/>
    </w:pPr>
    <w:r>
      <w:rPr>
        <w:i/>
        <w:iCs/>
        <w:color w:val="666666"/>
        <w:sz w:val="18"/>
        <w:szCs w:val="18"/>
      </w:rPr>
      <w:t>COM617 Group 15 - PID AE1 - v10 (Final, brief-compliant)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60"/>
    <w:multiLevelType w:val="hybridMultilevel"/>
    <w:tmpl w:val="9AAC5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420214"/>
    <w:multiLevelType w:val="hybridMultilevel"/>
    <w:tmpl w:val="A69E7C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0B533C0"/>
    <w:multiLevelType w:val="hybridMultilevel"/>
    <w:tmpl w:val="38DE2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3420A62"/>
    <w:multiLevelType w:val="hybridMultilevel"/>
    <w:tmpl w:val="B756F65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A349A9"/>
    <w:multiLevelType w:val="hybridMultilevel"/>
    <w:tmpl w:val="5BAAF9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F07421"/>
    <w:multiLevelType w:val="hybridMultilevel"/>
    <w:tmpl w:val="E996A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971C9E"/>
    <w:multiLevelType w:val="hybridMultilevel"/>
    <w:tmpl w:val="18F82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CB5AFC"/>
    <w:multiLevelType w:val="hybridMultilevel"/>
    <w:tmpl w:val="8794D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81488008">
    <w:abstractNumId w:val="0"/>
  </w:num>
  <w:num w:numId="2" w16cid:durableId="1317805997">
    <w:abstractNumId w:val="6"/>
  </w:num>
  <w:num w:numId="3" w16cid:durableId="1985816179">
    <w:abstractNumId w:val="2"/>
  </w:num>
  <w:num w:numId="4" w16cid:durableId="1000231422">
    <w:abstractNumId w:val="5"/>
  </w:num>
  <w:num w:numId="5" w16cid:durableId="332338029">
    <w:abstractNumId w:val="7"/>
  </w:num>
  <w:num w:numId="6" w16cid:durableId="451098418">
    <w:abstractNumId w:val="4"/>
  </w:num>
  <w:num w:numId="7" w16cid:durableId="156924844">
    <w:abstractNumId w:val="3"/>
  </w:num>
  <w:num w:numId="8" w16cid:durableId="190467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22"/>
    <w:rsid w:val="007A65F7"/>
    <w:rsid w:val="009E5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0A31"/>
  <w15:chartTrackingRefBased/>
  <w15:docId w15:val="{B50D44B4-324E-42D2-8DB8-DA6E79BE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22"/>
    <w:rPr>
      <w:rFonts w:eastAsiaTheme="majorEastAsia" w:cstheme="majorBidi"/>
      <w:color w:val="272727" w:themeColor="text1" w:themeTint="D8"/>
    </w:rPr>
  </w:style>
  <w:style w:type="paragraph" w:styleId="Title">
    <w:name w:val="Title"/>
    <w:basedOn w:val="Normal"/>
    <w:next w:val="Normal"/>
    <w:link w:val="TitleChar"/>
    <w:uiPriority w:val="10"/>
    <w:qFormat/>
    <w:rsid w:val="009E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22"/>
    <w:pPr>
      <w:spacing w:before="160"/>
      <w:jc w:val="center"/>
    </w:pPr>
    <w:rPr>
      <w:i/>
      <w:iCs/>
      <w:color w:val="404040" w:themeColor="text1" w:themeTint="BF"/>
    </w:rPr>
  </w:style>
  <w:style w:type="character" w:customStyle="1" w:styleId="QuoteChar">
    <w:name w:val="Quote Char"/>
    <w:basedOn w:val="DefaultParagraphFont"/>
    <w:link w:val="Quote"/>
    <w:uiPriority w:val="29"/>
    <w:rsid w:val="009E5E22"/>
    <w:rPr>
      <w:i/>
      <w:iCs/>
      <w:color w:val="404040" w:themeColor="text1" w:themeTint="BF"/>
    </w:rPr>
  </w:style>
  <w:style w:type="paragraph" w:styleId="ListParagraph">
    <w:name w:val="List Paragraph"/>
    <w:basedOn w:val="Normal"/>
    <w:uiPriority w:val="34"/>
    <w:qFormat/>
    <w:rsid w:val="009E5E22"/>
    <w:pPr>
      <w:ind w:left="720"/>
      <w:contextualSpacing/>
    </w:pPr>
  </w:style>
  <w:style w:type="character" w:styleId="IntenseEmphasis">
    <w:name w:val="Intense Emphasis"/>
    <w:basedOn w:val="DefaultParagraphFont"/>
    <w:uiPriority w:val="21"/>
    <w:qFormat/>
    <w:rsid w:val="009E5E22"/>
    <w:rPr>
      <w:i/>
      <w:iCs/>
      <w:color w:val="0F4761" w:themeColor="accent1" w:themeShade="BF"/>
    </w:rPr>
  </w:style>
  <w:style w:type="paragraph" w:styleId="IntenseQuote">
    <w:name w:val="Intense Quote"/>
    <w:basedOn w:val="Normal"/>
    <w:next w:val="Normal"/>
    <w:link w:val="IntenseQuoteChar"/>
    <w:uiPriority w:val="30"/>
    <w:qFormat/>
    <w:rsid w:val="009E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22"/>
    <w:rPr>
      <w:i/>
      <w:iCs/>
      <w:color w:val="0F4761" w:themeColor="accent1" w:themeShade="BF"/>
    </w:rPr>
  </w:style>
  <w:style w:type="character" w:styleId="IntenseReference">
    <w:name w:val="Intense Reference"/>
    <w:basedOn w:val="DefaultParagraphFont"/>
    <w:uiPriority w:val="32"/>
    <w:qFormat/>
    <w:rsid w:val="009E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8080</Words>
  <Characters>46057</Characters>
  <Application>Microsoft Office Word</Application>
  <DocSecurity>0</DocSecurity>
  <Lines>383</Lines>
  <Paragraphs>108</Paragraphs>
  <ScaleCrop>false</ScaleCrop>
  <Company/>
  <LinksUpToDate>false</LinksUpToDate>
  <CharactersWithSpaces>54029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Batalha De Vasconcelos</dc:creator>
  <cp:keywords/>
  <dc:description/>
  <cp:lastModifiedBy>Jose Batalha De Vasconcelos</cp:lastModifiedBy>
  <cp:revision>1</cp:revision>
  <dcterms:created xsi:type="dcterms:W3CDTF">2026-05-04T04:32:00Z</dcterms:created>
  <dcterms:modified xsi:type="dcterms:W3CDTF">2026-05-04T04:33:00Z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76aa4323-7bc2-4fac-b3b0-7cee09f8779a</vt:lpwstr>
  </property>
</Properties>
</file>