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rebuchet MS" w:cs="Trebuchet MS" w:eastAsia="Trebuchet MS" w:hAnsi="Trebuchet MS"/>
          <w:i/>
          <w:iCs/>
          <w:sz w:val="22"/>
          <w:szCs w:val="22"/>
        </w:rPr>
        <w:t xml:space="preserve">COM617 - Group 15 - PID AE1</w:t>
      </w:r>
    </w:p>
    <w:p>
      <w:pPr>
        <w:spacing w:after="120" w:before="240"/>
        <w:jc w:val="center"/>
      </w:pPr>
      <w:r>
        <w:rPr>
          <w:rFonts w:ascii="Trebuchet MS" w:cs="Trebuchet MS" w:eastAsia="Trebuchet MS" w:hAnsi="Trebuchet MS"/>
          <w:b/>
          <w:bCs/>
          <w:sz w:val="26"/>
          <w:szCs w:val="26"/>
        </w:rPr>
        <w:t xml:space="preserve">Southampton Solent University</w:t>
      </w:r>
    </w:p>
    <w:p>
      <w:pPr>
        <w:spacing w:after="60" w:before="0"/>
        <w:jc w:val="center"/>
      </w:pPr>
      <w:r>
        <w:rPr>
          <w:rFonts w:ascii="Trebuchet MS" w:cs="Trebuchet MS" w:eastAsia="Trebuchet MS" w:hAnsi="Trebuchet MS"/>
          <w:sz w:val="22"/>
          <w:szCs w:val="22"/>
        </w:rPr>
        <w:t xml:space="preserve">School of Technology and Maritime Industries</w:t>
      </w:r>
    </w:p>
    <w:p>
      <w:pPr>
        <w:spacing w:after="480" w:before="0"/>
        <w:jc w:val="center"/>
      </w:pPr>
      <w:r>
        <w:rPr>
          <w:rFonts w:ascii="Trebuchet MS" w:cs="Trebuchet MS" w:eastAsia="Trebuchet MS" w:hAnsi="Trebuchet MS"/>
          <w:sz w:val="22"/>
          <w:szCs w:val="22"/>
        </w:rPr>
        <w:t xml:space="preserve">Computing</w:t>
      </w:r>
    </w:p>
    <w:p>
      <w:pPr>
        <w:spacing w:after="120" w:before="0"/>
        <w:jc w:val="center"/>
      </w:pPr>
      <w:r>
        <w:rPr>
          <w:rFonts w:ascii="Trebuchet MS" w:cs="Trebuchet MS" w:eastAsia="Trebuchet MS" w:hAnsi="Trebuchet MS"/>
          <w:b/>
          <w:bCs/>
          <w:i/>
          <w:iCs/>
          <w:sz w:val="30"/>
          <w:szCs w:val="30"/>
        </w:rPr>
        <w:t xml:space="preserve">GROUP - 15</w:t>
      </w:r>
    </w:p>
    <w:p>
      <w:pPr>
        <w:spacing w:after="240" w:before="0"/>
        <w:jc w:val="center"/>
      </w:pPr>
      <w:r>
        <w:rPr>
          <w:rFonts w:ascii="Trebuchet MS" w:cs="Trebuchet MS" w:eastAsia="Trebuchet MS" w:hAnsi="Trebuchet MS"/>
          <w:b/>
          <w:bCs/>
          <w:sz w:val="26"/>
          <w:szCs w:val="26"/>
        </w:rPr>
        <w:t xml:space="preserve">Industrial Consulting Project (COM617)</w:t>
      </w:r>
    </w:p>
    <w:p>
      <w:pPr>
        <w:spacing w:after="480" w:before="0"/>
        <w:jc w:val="center"/>
      </w:pPr>
      <w:r>
        <w:rPr>
          <w:rFonts w:ascii="Trebuchet MS" w:cs="Trebuchet MS" w:eastAsia="Trebuchet MS" w:hAnsi="Trebuchet MS"/>
          <w:i/>
          <w:iCs/>
          <w:sz w:val="22"/>
          <w:szCs w:val="22"/>
        </w:rPr>
        <w:t xml:space="preserve">Group Portfolio - Project Initiation Document - AE1</w:t>
      </w:r>
    </w:p>
    <w:p>
      <w:pPr>
        <w:spacing w:after="240" w:before="0"/>
        <w:jc w:val="center"/>
      </w:pPr>
      <w:r>
        <w:rPr>
          <w:rFonts w:ascii="Trebuchet MS" w:cs="Trebuchet MS" w:eastAsia="Trebuchet MS" w:hAnsi="Trebuchet MS"/>
          <w:b/>
          <w:bCs/>
          <w:sz w:val="28"/>
          <w:szCs w:val="28"/>
        </w:rPr>
        <w:t xml:space="preserve">AUTOMATED NETWORK ALERT TRIAGE,</w:t>
      </w:r>
    </w:p>
    <w:p>
      <w:pPr>
        <w:spacing w:after="120" w:before="0"/>
        <w:jc w:val="center"/>
      </w:pPr>
      <w:r>
        <w:rPr>
          <w:rFonts w:ascii="Trebuchet MS" w:cs="Trebuchet MS" w:eastAsia="Trebuchet MS" w:hAnsi="Trebuchet MS"/>
          <w:b/>
          <w:bCs/>
          <w:sz w:val="28"/>
          <w:szCs w:val="28"/>
        </w:rPr>
        <w:t xml:space="preserve">DIAGNOSTICS AND ENGINEER-READY REPORTING</w:t>
      </w:r>
    </w:p>
    <w:p>
      <w:pPr>
        <w:spacing w:after="480" w:before="80"/>
        <w:jc w:val="center"/>
      </w:pPr>
      <w:r>
        <w:rPr>
          <w:rFonts w:ascii="Trebuchet MS" w:cs="Trebuchet MS" w:eastAsia="Trebuchet MS" w:hAnsi="Trebuchet MS"/>
          <w:i/>
          <w:iCs/>
          <w:sz w:val="22"/>
          <w:szCs w:val="22"/>
        </w:rPr>
        <w:t xml:space="preserve">An Expandable, Plugin-Based Framework for Enterprise NOC Automation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Module</w:t>
            </w:r>
          </w:p>
        </w:tc>
        <w:tc>
          <w:tcPr>
            <w:tcW w:type="dxa" w:w="6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COM617 Industrial Consulting Project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Module Leader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Martin Reid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Assessment</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AE1 - Group Portfolio / Project Initiation Document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 15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Team Members</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Jose Batalha De Vasconcelos (Scrum Master), Biloliddin Turaev (Lead Developer), Akinwunmi Rotimi (QA Lead), Akinwunmi Kayode (Systems Integration)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Industry Sponsor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James Whale - Cisco Systems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Supporting Tutor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Craig Gallen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Product Repository</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https://github.com/com617-industrial-2025-1/com617-AutomatedNetworkTroubleshooting-1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Submission Date</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Thursday 8 May 2026 (before 16:00)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Word Count (body prose)</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Approximately 1,944 words (Sections 1 to 11, excluding tables, figures, captions, references, and appendices, per standard academic word-count practice).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Version</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Ver. 5.0 - Final Submission</w:t>
            </w:r>
          </w:p>
        </w:tc>
      </w:tr>
    </w:tbl>
    <w:p>
      <w:pPr>
        <w:spacing w:after="200" w:before="80" w:line="260"/>
        <w:jc w:val="center"/>
      </w:pPr>
      <w:r>
        <w:rPr>
          <w:rFonts w:ascii="Trebuchet MS" w:cs="Trebuchet MS" w:eastAsia="Trebuchet MS" w:hAnsi="Trebuchet MS"/>
          <w:b/>
          <w:bCs/>
          <w:i/>
          <w:iCs/>
          <w:sz w:val="20"/>
          <w:szCs w:val="20"/>
        </w:rPr>
        <w:t xml:space="preserve">Table 1. Project metadata.</w:t>
      </w:r>
    </w:p>
    <w:p>
      <w:pPr>
        <w:spacing w:after="80" w:before="240"/>
        <w:jc w:val="center"/>
      </w:pPr>
      <w:r>
        <w:rPr>
          <w:rFonts w:ascii="Trebuchet MS" w:cs="Trebuchet MS" w:eastAsia="Trebuchet MS" w:hAnsi="Trebuchet MS"/>
          <w:b/>
          <w:bCs/>
          <w:sz w:val="30"/>
          <w:szCs w:val="30"/>
        </w:rPr>
        <w:t xml:space="preserve">MARR</w:t>
      </w:r>
    </w:p>
    <w:p>
      <w:pPr>
        <w:spacing w:after="120" w:before="0"/>
        <w:jc w:val="center"/>
      </w:pPr>
      <w:r>
        <w:rPr>
          <w:rFonts w:ascii="Trebuchet MS" w:cs="Trebuchet MS" w:eastAsia="Trebuchet MS" w:hAnsi="Trebuchet MS"/>
          <w:sz w:val="22"/>
          <w:szCs w:val="22"/>
        </w:rPr>
        <w:t xml:space="preserve">Monitor - Analyse - React - Report</w:t>
      </w:r>
    </w:p>
    <w:p>
      <w:pPr>
        <w:spacing w:after="0" w:before="240"/>
        <w:jc w:val="center"/>
      </w:pPr>
      <w:r>
        <w:rPr>
          <w:rFonts w:ascii="Trebuchet MS" w:cs="Trebuchet MS" w:eastAsia="Trebuchet MS" w:hAnsi="Trebuchet MS"/>
          <w:i/>
          <w:iCs/>
          <w:sz w:val="20"/>
          <w:szCs w:val="20"/>
        </w:rPr>
        <w:t xml:space="preserve">Southampton Solent University - Cisco Systems - Academic Year 2025-26</w:t>
      </w:r>
    </w:p>
    <w:p>
      <w:r>
        <w:br w:type="page"/>
      </w:r>
    </w:p>
    <w:p>
      <w:pPr>
        <w:pStyle w:val="Heading1"/>
        <w:spacing w:after="160" w:before="320"/>
      </w:pPr>
      <w:r>
        <w:rPr>
          <w:rFonts w:ascii="Trebuchet MS" w:cs="Trebuchet MS" w:eastAsia="Trebuchet MS" w:hAnsi="Trebuchet MS"/>
          <w:b/>
          <w:bCs/>
          <w:sz w:val="32"/>
          <w:szCs w:val="32"/>
        </w:rPr>
        <w:t xml:space="preserve">1. Project Summary and Introduction</w:t>
      </w:r>
    </w:p>
    <w:p>
      <w:pPr>
        <w:spacing w:after="80" w:before="80" w:line="280"/>
        <w:jc w:val="both"/>
      </w:pPr>
      <w:r>
        <w:rPr>
          <w:rFonts w:ascii="Trebuchet MS" w:cs="Trebuchet MS" w:eastAsia="Trebuchet MS" w:hAnsi="Trebuchet MS"/>
          <w:b w:val="false"/>
          <w:bCs w:val="false"/>
          <w:i w:val="false"/>
          <w:iCs w:val="false"/>
          <w:sz w:val="22"/>
          <w:szCs w:val="22"/>
        </w:rPr>
        <w:t xml:space="preserve">Network Operations Centres (NOCs) at scale do not fail because engineers lack expertise. They fail because raw telemetry arrives faster than human cognition can interpret reliably (Beyer et al. 2016). Conventional Network Management Systems such as SolarWinds, Nagios and Cisco Prime Infrastructure improve observability but not interpretability: they make signals more visible without reducing the cognitive effort of acting on them. This is the layer at which response delay accumulates in NOC workflows, and the layer at which automation produces the most operational value (IEEE_Challenges 2024).</w:t>
      </w:r>
    </w:p>
    <w:p>
      <w:pPr>
        <w:spacing w:after="80" w:before="80" w:line="280"/>
        <w:jc w:val="both"/>
      </w:pPr>
      <w:r>
        <w:rPr>
          <w:rFonts w:ascii="Trebuchet MS" w:cs="Trebuchet MS" w:eastAsia="Trebuchet MS" w:hAnsi="Trebuchet MS"/>
          <w:b w:val="false"/>
          <w:bCs w:val="false"/>
          <w:i w:val="false"/>
          <w:iCs w:val="false"/>
          <w:sz w:val="22"/>
          <w:szCs w:val="22"/>
        </w:rPr>
        <w:t xml:space="preserve">Group 15 has built MARR (Monitor, Analyse, React, Report), a Cisco-sponsored proof of concept that ingests SNMP and syslog events, classifies and correlates them through a rule-based engine, executes read-only Ansible diagnostic runbooks against the affected device, and delivers structured incident reports through Mattermost. Machine learning is deferred until labelled production data exists: rule-based logic fails in transparent, debuggable ways an engineer can correct under pressure, where ML failure modes are statistical and opaque (Boutaba et al. 2018). The value framing is engineer decision quality, not headcount reduction (Kim et al. 2016; Bainbridge 1983).</w:t>
      </w:r>
    </w:p>
    <w:p>
      <w:r>
        <w:br w:type="page"/>
      </w:r>
    </w:p>
    <w:p>
      <w:pPr>
        <w:pStyle w:val="Heading1"/>
        <w:spacing w:after="160" w:before="320"/>
      </w:pPr>
      <w:r>
        <w:rPr>
          <w:rFonts w:ascii="Trebuchet MS" w:cs="Trebuchet MS" w:eastAsia="Trebuchet MS" w:hAnsi="Trebuchet MS"/>
          <w:b/>
          <w:bCs/>
          <w:sz w:val="32"/>
          <w:szCs w:val="32"/>
        </w:rPr>
        <w:t xml:space="preserve">2. Project Objectives</w:t>
      </w:r>
    </w:p>
    <w:p>
      <w:pPr>
        <w:spacing w:after="80" w:before="80" w:line="280"/>
        <w:jc w:val="both"/>
      </w:pPr>
      <w:r>
        <w:rPr>
          <w:rFonts w:ascii="Trebuchet MS" w:cs="Trebuchet MS" w:eastAsia="Trebuchet MS" w:hAnsi="Trebuchet MS"/>
          <w:b w:val="false"/>
          <w:bCs w:val="false"/>
          <w:i w:val="false"/>
          <w:iCs w:val="false"/>
          <w:sz w:val="22"/>
          <w:szCs w:val="22"/>
        </w:rPr>
        <w:t xml:space="preserve">The MARR objectives are measurable, traceable to the sponsor's brief, and each carries an evidence source against which Sprint 3 results have been assessed. Detailed evidence and named assumptions sit in Appendix A (risk register) and Appendix E (operational evidence).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Reduce mean time to triage (MTTT) through automated ingestion-to-categorisation. Target sub-5-second latency, evidenced by timestamped logs (Beyer et al. 2016).</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Standardise alert handling via a runbook repository, with unknown alert types escalated rather than silently mishandled (Limoncelli, Hogan and Chalup 2014).</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Deliver a vendor-agnostic, plugin-based architecture enabling new alert families without core refactoring (Bass, Clements and Kazman 2021).</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Enforce security-by-design: vault-backed credentials, RBAC, read-only diagnostic enforcement, and audit logging (Stallings 2017; BCS 2022; IET 2023).</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Preserve human oversight at every automated pathway: confidence indicators in every report, low-confidence outputs escalated, no automated corrective commands (Bainbridge 1983).</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Deliver a containerised, version-controlled system deployable via single-command Docker Compose (Merkel 2014).</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Distinguish internal-consistency results (what synthetic testing can prove) from external-validity claims (what production would require).</w:t>
      </w:r>
    </w:p>
    <w:p>
      <w:r>
        <w:br w:type="page"/>
      </w:r>
    </w:p>
    <w:p>
      <w:pPr>
        <w:pStyle w:val="Heading1"/>
        <w:spacing w:after="160" w:before="320"/>
      </w:pPr>
      <w:r>
        <w:rPr>
          <w:rFonts w:ascii="Trebuchet MS" w:cs="Trebuchet MS" w:eastAsia="Trebuchet MS" w:hAnsi="Trebuchet MS"/>
          <w:b/>
          <w:bCs/>
          <w:sz w:val="32"/>
          <w:szCs w:val="32"/>
        </w:rPr>
        <w:t xml:space="preserve">3. Requirements</w:t>
      </w:r>
    </w:p>
    <w:p>
      <w:pPr>
        <w:pStyle w:val="Heading2"/>
        <w:spacing w:after="120" w:before="240"/>
      </w:pPr>
      <w:r>
        <w:rPr>
          <w:rFonts w:ascii="Trebuchet MS" w:cs="Trebuchet MS" w:eastAsia="Trebuchet MS" w:hAnsi="Trebuchet MS"/>
          <w:b/>
          <w:bCs/>
          <w:sz w:val="28"/>
          <w:szCs w:val="28"/>
        </w:rPr>
        <w:t xml:space="preserve">3.1 Functional Requirements</w:t>
      </w:r>
    </w:p>
    <w:p>
      <w:pPr>
        <w:spacing w:after="80" w:before="80" w:line="280"/>
        <w:jc w:val="both"/>
      </w:pPr>
      <w:r>
        <w:rPr>
          <w:rFonts w:ascii="Trebuchet MS" w:cs="Trebuchet MS" w:eastAsia="Trebuchet MS" w:hAnsi="Trebuchet MS"/>
          <w:b w:val="false"/>
          <w:bCs w:val="false"/>
          <w:i w:val="false"/>
          <w:iCs w:val="false"/>
          <w:sz w:val="22"/>
          <w:szCs w:val="22"/>
        </w:rPr>
        <w:t xml:space="preserve">Real network alerts frequently carry incomplete or inconsistent metadata: missing device identifiers, ambiguous severity, and syslog formats that vary across firmware versions of the same vendor. FR-008 operationalises tolerance for this: a partial report with explicit uncertainty markers is more operationally useful than no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00"/>
        <w:gridCol w:w="800"/>
        <w:gridCol w:w="1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Name</w:t>
            </w:r>
          </w:p>
        </w:tc>
        <w:tc>
          <w:tcPr>
            <w:tcW w:type="dxa" w:w="4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c>
          <w:tcPr>
            <w:tcW w:type="dxa" w:w="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Priority</w:t>
            </w:r>
          </w:p>
        </w:tc>
        <w:tc>
          <w:tcPr>
            <w:tcW w:type="dxa" w:w="1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Acceptance Criteria</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Ingestion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receive and ingest alerts from SNMP traps (UDP/162) and syslog sources (UDP/514) in real time, normalising all events to a versioned JSON schema before publication to the message broker.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Events ingested within 5s; zero data loss under 1,000 alerts/min sustained load.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Categorisation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classify alerts by type, severity, and affected device using a rule-based matching engine operating against a versioned, externally managed ruleset.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Correct classification of two or more alert families in integration testing; unknown types are explicitly escalated.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Root Cause Correlation</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correlate temporally and topologically related alerts within a configurable time window to identify probable root causes. Alerts without a matching correlation rule shall be flagged explicitly, never silently discarded.</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 root-cause report per correlated group; unmatched events produce an escalation record with a documentation flag.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Diagnostics</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Diagnostics complete without device-side configuration change; allowlist enforcement verified by audit of runbook task definitions.</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Reporting</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generate structured incident reports including alert context, diagnostic results, recommended actions, and a per-categorisation confidence indicator, delivered via messaging integration.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Reports delivered within 10 s of correlation.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Knowledge Base</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system shall maintain a searchable repository of resolved incidents and runbooks. Alert types without a matching runbook shall produce an escalation entry with an explicit documentation gap flag.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Past incidents queryable; unmatched alerts escalated with a flag.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Dashboard</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 React.js web dashboard shall present active alerts, system health, and historical incident data accessible via modern browsers without specialist training.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Accessible via Chrome/Firefox - no specialist training required.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Alert Handling</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Alerts with incomplete or malformed metadata shall not be silently discarded. The system shall produce a partial report with explicit uncertainty markers and route the event to an escalation queue.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Malformed test alerts produce a partial report and an escalation entry - zero silent data loss.</w:t>
            </w:r>
          </w:p>
        </w:tc>
      </w:tr>
    </w:tbl>
    <w:p>
      <w:pPr>
        <w:spacing w:after="200" w:before="80" w:line="260"/>
        <w:jc w:val="center"/>
      </w:pPr>
      <w:r>
        <w:rPr>
          <w:rFonts w:ascii="Trebuchet MS" w:cs="Trebuchet MS" w:eastAsia="Trebuchet MS" w:hAnsi="Trebuchet MS"/>
          <w:b/>
          <w:bCs/>
          <w:i/>
          <w:iCs/>
          <w:sz w:val="20"/>
          <w:szCs w:val="20"/>
        </w:rPr>
        <w:t xml:space="preserve">Table 2. Functional requirements specification.</w:t>
      </w:r>
    </w:p>
    <w:p>
      <w:pPr>
        <w:spacing w:after="80" w:before="80" w:line="280"/>
        <w:jc w:val="both"/>
      </w:pPr>
      <w:r>
        <w:rPr>
          <w:rFonts w:ascii="Trebuchet MS" w:cs="Trebuchet MS" w:eastAsia="Trebuchet MS" w:hAnsi="Trebuchet MS"/>
          <w:b w:val="false"/>
          <w:bCs w:val="false"/>
          <w:i w:val="false"/>
          <w:iCs w:val="false"/>
          <w:sz w:val="22"/>
          <w:szCs w:val="22"/>
        </w:rPr>
        <w:t xml:space="preserve">The 1,000-alerts-per-minute target in NFR-002 is a design target for burst-handling architecture, not a measurement against production data. The queue-based architecture supports horizontal scaling if production volumes exceed it.</w:t>
      </w:r>
    </w:p>
    <w:p>
      <w:pPr>
        <w:pStyle w:val="Heading2"/>
        <w:spacing w:after="120" w:before="240"/>
      </w:pPr>
      <w:r>
        <w:rPr>
          <w:rFonts w:ascii="Trebuchet MS" w:cs="Trebuchet MS" w:eastAsia="Trebuchet MS" w:hAnsi="Trebuchet MS"/>
          <w:b/>
          <w:bCs/>
          <w:sz w:val="28"/>
          <w:szCs w:val="28"/>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700"/>
        <w:gridCol w:w="4000"/>
      </w:tblGrid>
      <w:tr>
        <w:tc>
          <w:tcPr>
            <w:tcW w:type="dxa" w:w="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Category</w:t>
            </w:r>
          </w:p>
        </w:tc>
        <w:tc>
          <w:tcPr>
            <w:tcW w:type="dxa" w:w="2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Target</w:t>
            </w:r>
          </w:p>
        </w:tc>
        <w:tc>
          <w:tcPr>
            <w:tcW w:type="dxa" w:w="4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Justification</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Reliability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99.9% uptime; graceful degradation via dead-letter queuing under overload.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Unverifiable under synthetic conditions; treated as an architectural aspiration. Dead-letter queuing prevents alert loss on transient queue failure (Nygard 2018).</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Scalability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1,000 alerts/min or higher; horizontally scalable queue workers.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Figure is a design target, not derived from production data. The caveat is explicit: the figure may over- or under-represent real-world burst characteristics (Abbott and Fisher 2015).</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Security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TLS in transit; AES-256 at rest; RBAC enforced; immutable audit log.</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Automated network access constitutes a high-value attack surface. Security is a first-class constraint, not an afterthought (Stallings 2017).</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Performance</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Ingestion-to-categorisation latency 5 s or below under sustained synthetic load.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Sub-5-second MTTT is operationally meaningful only if the accompanying report provides sufficient context. Latency measurements are timestamped at the ingestion and categorisation boundaries.</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Maintainability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PEP 8 compliance; 80% or higher unit test coverage; inline documentation; Git version control.</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Code quality reduces the maintenance burden created when automation itself becomes a support liability, a risk explicitly identified in DevOps literature (Kim et al. 2016).</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Extensibility</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New alert types and diagnostic adapters via plugin interface; no core refactoring required.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Vendor-agnosticism and expandability are explicit sponsor requirements. Plugin architecture enables future adaptation without destabilising tested components (Bass, Clements and Kazman 2021).</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Schema Versioning</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schema and ruleset versions are backwards-compatible; the schema version is embedded in each event record.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Schema drift is a silent operational risk. Backwards compatibility ensures historical event replay is not broken by ruleset updates.</w:t>
            </w:r>
          </w:p>
        </w:tc>
      </w:tr>
    </w:tbl>
    <w:p>
      <w:pPr>
        <w:spacing w:after="200" w:before="80" w:line="260"/>
        <w:jc w:val="center"/>
      </w:pPr>
      <w:r>
        <w:rPr>
          <w:rFonts w:ascii="Trebuchet MS" w:cs="Trebuchet MS" w:eastAsia="Trebuchet MS" w:hAnsi="Trebuchet MS"/>
          <w:b/>
          <w:bCs/>
          <w:i/>
          <w:iCs/>
          <w:sz w:val="20"/>
          <w:szCs w:val="20"/>
        </w:rPr>
        <w:t xml:space="preserve">Table 3. Non-functional requirements specification.</w:t>
      </w:r>
    </w:p>
    <w:p>
      <w:r>
        <w:br w:type="page"/>
      </w:r>
    </w:p>
    <w:p>
      <w:pPr>
        <w:pStyle w:val="Heading1"/>
        <w:spacing w:after="160" w:before="320"/>
      </w:pPr>
      <w:r>
        <w:rPr>
          <w:rFonts w:ascii="Trebuchet MS" w:cs="Trebuchet MS" w:eastAsia="Trebuchet MS" w:hAnsi="Trebuchet MS"/>
          <w:b/>
          <w:bCs/>
          <w:sz w:val="32"/>
          <w:szCs w:val="32"/>
        </w:rPr>
        <w:t xml:space="preserve">4. Scope and Exclusions</w:t>
      </w:r>
    </w:p>
    <w:p>
      <w:pPr>
        <w:spacing w:after="80" w:before="80" w:line="280"/>
        <w:jc w:val="both"/>
      </w:pPr>
      <w:r>
        <w:rPr>
          <w:rFonts w:ascii="Trebuchet MS" w:cs="Trebuchet MS" w:eastAsia="Trebuchet MS" w:hAnsi="Trebuchet MS"/>
          <w:b w:val="false"/>
          <w:bCs w:val="false"/>
          <w:i w:val="false"/>
          <w:iCs w:val="false"/>
          <w:sz w:val="22"/>
          <w:szCs w:val="22"/>
        </w:rPr>
        <w:t xml:space="preserve">Inclusions are justified by what the MVP needs to demonstrate; exclusions are justified by the cost of premature inclusion.</w:t>
      </w:r>
    </w:p>
    <w:p>
      <w:pPr>
        <w:pStyle w:val="Heading2"/>
        <w:spacing w:after="120" w:before="240"/>
      </w:pPr>
      <w:r>
        <w:rPr>
          <w:rFonts w:ascii="Trebuchet MS" w:cs="Trebuchet MS" w:eastAsia="Trebuchet MS" w:hAnsi="Trebuchet MS"/>
          <w:b/>
          <w:bCs/>
          <w:sz w:val="28"/>
          <w:szCs w:val="28"/>
        </w:rPr>
        <w:t xml:space="preserve">4.1 In Scope - MVP</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SNMP trap (UDP/162) and syslog (UDP/514) ingestion via dedicated listeners.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Rule-based correlation across two alert families: interface-down and BGP/OSPF neighbour loss.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Read-only Ansible-runbook diagnostics with command allowlist enforced at the runbook task layer.</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Mattermost incident reporting; Docker Compose deployment; React.js dashboard.</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Per-categorisation confidence indicator; partial-alert handling (FR-008); backwards-compatible schema versioning (NFR-007).</w:t>
      </w:r>
    </w:p>
    <w:p>
      <w:pPr>
        <w:pStyle w:val="Heading2"/>
        <w:spacing w:after="120" w:before="240"/>
      </w:pPr>
      <w:r>
        <w:rPr>
          <w:rFonts w:ascii="Trebuchet MS" w:cs="Trebuchet MS" w:eastAsia="Trebuchet MS" w:hAnsi="Trebuchet MS"/>
          <w:b/>
          <w:bCs/>
          <w:sz w:val="28"/>
          <w:szCs w:val="28"/>
        </w:rPr>
        <w:t xml:space="preserve">4.2 Explicitly Excluded - MVP</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ML-based correlation: </w:t>
      </w:r>
      <w:r>
        <w:rPr>
          <w:rFonts w:ascii="Trebuchet MS" w:cs="Trebuchet MS" w:eastAsia="Trebuchet MS" w:hAnsi="Trebuchet MS"/>
          <w:b w:val="false"/>
          <w:bCs w:val="false"/>
          <w:i w:val="false"/>
          <w:iCs w:val="false"/>
          <w:sz w:val="22"/>
          <w:szCs w:val="22"/>
        </w:rPr>
        <w:t xml:space="preserve">deferred until labelled production data exists. An unreliable ML model in alert triage actively misdirects engineers (Boutaba et al. 2018).</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Autonomous remediation: </w:t>
      </w:r>
      <w:r>
        <w:rPr>
          <w:rFonts w:ascii="Trebuchet MS" w:cs="Trebuchet MS" w:eastAsia="Trebuchet MS" w:hAnsi="Trebuchet MS"/>
          <w:b w:val="false"/>
          <w:bCs w:val="false"/>
          <w:i w:val="false"/>
          <w:iCs w:val="false"/>
          <w:sz w:val="22"/>
          <w:szCs w:val="22"/>
        </w:rPr>
        <w:t xml:space="preserve">excluded on safety grounds. An incorrect command can cause the outage it was meant to prevent. The system is diagnostic, not corrective.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Production deployment: </w:t>
      </w:r>
      <w:r>
        <w:rPr>
          <w:rFonts w:ascii="Trebuchet MS" w:cs="Trebuchet MS" w:eastAsia="Trebuchet MS" w:hAnsi="Trebuchet MS"/>
          <w:b w:val="false"/>
          <w:bCs w:val="false"/>
          <w:i w:val="false"/>
          <w:iCs w:val="false"/>
          <w:sz w:val="22"/>
          <w:szCs w:val="22"/>
        </w:rPr>
        <w:t xml:space="preserve">the MVP runs on Containerlab/FRRouting. Categorisation rules will require adaptation against Cisco IOS before production use.</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b/>
          <w:bCs/>
          <w:i w:val="false"/>
          <w:iCs w:val="false"/>
          <w:sz w:val="22"/>
          <w:szCs w:val="22"/>
        </w:rPr>
        <w:t xml:space="preserve">Ticketing integration: </w:t>
      </w:r>
      <w:r>
        <w:rPr>
          <w:rFonts w:ascii="Trebuchet MS" w:cs="Trebuchet MS" w:eastAsia="Trebuchet MS" w:hAnsi="Trebuchet MS"/>
          <w:b w:val="false"/>
          <w:bCs w:val="false"/>
          <w:i w:val="false"/>
          <w:iCs w:val="false"/>
          <w:sz w:val="22"/>
          <w:szCs w:val="22"/>
        </w:rPr>
        <w:t xml:space="preserve">ServiceNow and Jira deferred to v1, with operational cost named in Section 11.1.</w:t>
      </w:r>
    </w:p>
    <w:p>
      <w:pPr>
        <w:spacing w:after="80" w:before="80" w:line="280"/>
        <w:jc w:val="both"/>
      </w:pPr>
      <w:r>
        <w:rPr>
          <w:rFonts w:ascii="Trebuchet MS" w:cs="Trebuchet MS" w:eastAsia="Trebuchet MS" w:hAnsi="Trebuchet MS"/>
          <w:b w:val="false"/>
          <w:bCs w:val="false"/>
          <w:i w:val="false"/>
          <w:iCs w:val="false"/>
          <w:sz w:val="22"/>
          <w:szCs w:val="22"/>
        </w:rPr>
        <w:t xml:space="preserve">Vendor-agnosticism is demonstrated at the adapter layer; full equivalence across IOS, JunOS, and EOS is a v1 validation activity. Privileged automated diagnostic access is treated as a security liability with ongoing governance obligations (Stallings 2017).</w:t>
      </w:r>
    </w:p>
    <w:p>
      <w:r>
        <w:br w:type="page"/>
      </w:r>
    </w:p>
    <w:p>
      <w:pPr>
        <w:pStyle w:val="Heading1"/>
        <w:spacing w:after="160" w:before="320"/>
      </w:pPr>
      <w:r>
        <w:rPr>
          <w:rFonts w:ascii="Trebuchet MS" w:cs="Trebuchet MS" w:eastAsia="Trebuchet MS" w:hAnsi="Trebuchet MS"/>
          <w:b/>
          <w:bCs/>
          <w:sz w:val="32"/>
          <w:szCs w:val="32"/>
        </w:rPr>
        <w:t xml:space="preserve">5. Monitoring and Evaluation</w:t>
      </w:r>
    </w:p>
    <w:p>
      <w:pPr>
        <w:spacing w:after="80" w:before="80" w:line="280"/>
        <w:jc w:val="both"/>
      </w:pPr>
      <w:r>
        <w:rPr>
          <w:rFonts w:ascii="Trebuchet MS" w:cs="Trebuchet MS" w:eastAsia="Trebuchet MS" w:hAnsi="Trebuchet MS"/>
          <w:b w:val="false"/>
          <w:bCs w:val="false"/>
          <w:i w:val="false"/>
          <w:iCs w:val="false"/>
          <w:sz w:val="22"/>
          <w:szCs w:val="22"/>
        </w:rPr>
        <w:t xml:space="preserve">Synthetic evaluation by the team that built the system is an internal-consistency check, not a claim of external validity. Three categories of edge case will not be captured by synthetic data: vendor-specific syslog format variation, real temporal clustering (link flaps, BGP reconvergence), and ambiguous causality between adjacent independent failures. Detailed methodology and per-scenario expectations are in Appendix C.</w:t>
      </w:r>
    </w:p>
    <w:p>
      <w:pPr>
        <w:pStyle w:val="Heading2"/>
        <w:spacing w:after="120" w:before="240"/>
      </w:pPr>
      <w:r>
        <w:rPr>
          <w:rFonts w:ascii="Trebuchet MS" w:cs="Trebuchet MS" w:eastAsia="Trebuchet MS" w:hAnsi="Trebuchet MS"/>
          <w:b/>
          <w:bCs/>
          <w:sz w:val="28"/>
          <w:szCs w:val="28"/>
        </w:rPr>
        <w:t xml:space="preserve">5.1 Fault Injection Test Scenarios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Scenario A - Link-failure cascade: interface shutdown then OSPF then BGP, MTTT measured against 5-second target (FR-003).</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Scenario B - Partial metadata: malformed syslog with missing device identifier (FR-008).</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Scenario C - Alert storm: 1,000 synthetic alerts per minute for 60 seconds (NFR-002).</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Scenario D - Correlation window sensitivity at 30/60/120 second settings.</w:t>
      </w:r>
    </w:p>
    <w:p>
      <w:pPr>
        <w:pStyle w:val="Heading2"/>
        <w:spacing w:after="120" w:before="240"/>
      </w:pPr>
      <w:r>
        <w:rPr>
          <w:rFonts w:ascii="Trebuchet MS" w:cs="Trebuchet MS" w:eastAsia="Trebuchet MS" w:hAnsi="Trebuchet MS"/>
          <w:b/>
          <w:bCs/>
          <w:sz w:val="28"/>
          <w:szCs w:val="28"/>
        </w:rPr>
        <w:t xml:space="preserve">5.2 Evaluation Metrics</w:t>
      </w:r>
    </w:p>
    <w:p>
      <w:pPr>
        <w:spacing w:after="80" w:before="80" w:line="280"/>
        <w:jc w:val="both"/>
      </w:pPr>
      <w:r>
        <w:rPr>
          <w:rFonts w:ascii="Trebuchet MS" w:cs="Trebuchet MS" w:eastAsia="Trebuchet MS" w:hAnsi="Trebuchet MS"/>
          <w:b w:val="false"/>
          <w:bCs w:val="false"/>
          <w:i w:val="false"/>
          <w:iCs w:val="false"/>
          <w:sz w:val="22"/>
          <w:szCs w:val="22"/>
        </w:rPr>
        <w:t xml:space="preserve">Tracked metrics: MTTT, categorisation accuracy, correlation precision and recall, report delivery latency, false-escalation rate. Every figure in Section 10 is labelled an internal-consistency measurement; no figure is presented as a production-validity claim (Botta et al. 2012).</w:t>
      </w:r>
    </w:p>
    <w:p>
      <w:r>
        <w:br w:type="page"/>
      </w:r>
    </w:p>
    <w:p>
      <w:pPr>
        <w:pStyle w:val="Heading1"/>
        <w:spacing w:after="160" w:before="320"/>
      </w:pPr>
      <w:r>
        <w:rPr>
          <w:rFonts w:ascii="Trebuchet MS" w:cs="Trebuchet MS" w:eastAsia="Trebuchet MS" w:hAnsi="Trebuchet MS"/>
          <w:b/>
          <w:bCs/>
          <w:sz w:val="32"/>
          <w:szCs w:val="32"/>
        </w:rPr>
        <w:t xml:space="preserve">6. Project Organisation Structure</w:t>
      </w:r>
    </w:p>
    <w:p>
      <w:pPr>
        <w:spacing w:after="80" w:before="80" w:line="280"/>
        <w:jc w:val="both"/>
      </w:pPr>
      <w:r>
        <w:rPr>
          <w:rFonts w:ascii="Trebuchet MS" w:cs="Trebuchet MS" w:eastAsia="Trebuchet MS" w:hAnsi="Trebuchet MS"/>
          <w:b w:val="false"/>
          <w:bCs w:val="false"/>
          <w:i w:val="false"/>
          <w:iCs w:val="false"/>
          <w:sz w:val="22"/>
          <w:szCs w:val="22"/>
        </w:rPr>
        <w:t xml:space="preserve">Group 15 operates a flat, four-member structure with explicit role separation mapped to the discipline boundaries of the project, enabling parallel sprint work without cross-cutting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Member</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Role</w:t>
            </w:r>
          </w:p>
        </w:tc>
        <w:tc>
          <w:tcPr>
            <w:tcW w:type="dxa" w:w="3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Primary Responsibilities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Jose Batalha De Vasconcelos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Scrum Master / Project Lead</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planning; ceremony facilitation; sponsor liaison; risk register custodianship; release engineering.</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Turaev</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Lead Developer / Architecture</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 architecture; categorisation engine; correlation engine; pipeline core; code review.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Akinwunmi Rotimi</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QA Lead / Evaluation</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Test plan; fault injection scenarios; evaluation methodology; metric integrity; methodological scrutiny.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Akinwunmi Kayode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Systems Integration / Reporting</w:t>
            </w:r>
          </w:p>
        </w:tc>
        <w:tc>
          <w:tcPr>
            <w:tcW w:type="dxa" w:w="3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diagnostic runbooks; reporting pipeline; notification integration; issues resolution.</w:t>
            </w:r>
          </w:p>
        </w:tc>
      </w:tr>
    </w:tbl>
    <w:p>
      <w:pPr>
        <w:spacing w:after="200" w:before="80" w:line="260"/>
        <w:jc w:val="center"/>
      </w:pPr>
      <w:r>
        <w:rPr>
          <w:rFonts w:ascii="Trebuchet MS" w:cs="Trebuchet MS" w:eastAsia="Trebuchet MS" w:hAnsi="Trebuchet MS"/>
          <w:b/>
          <w:bCs/>
          <w:i/>
          <w:iCs/>
          <w:sz w:val="20"/>
          <w:szCs w:val="20"/>
        </w:rPr>
        <w:t xml:space="preserve">Table 4. Group organisation, role mapping, and primary responsibilities.</w:t>
      </w:r>
    </w:p>
    <w:p>
      <w:pPr>
        <w:spacing w:after="80" w:before="80" w:line="280"/>
        <w:jc w:val="both"/>
      </w:pPr>
      <w:r>
        <w:rPr>
          <w:rFonts w:ascii="Trebuchet MS" w:cs="Trebuchet MS" w:eastAsia="Trebuchet MS" w:hAnsi="Trebuchet MS"/>
          <w:b w:val="false"/>
          <w:bCs w:val="false"/>
          <w:i w:val="false"/>
          <w:iCs w:val="false"/>
          <w:sz w:val="22"/>
          <w:szCs w:val="22"/>
        </w:rPr>
        <w:t xml:space="preserve">Decisions affecting system architecture or evaluation methodology require quorum among the Lead Developer, QA Lead, and Scrum Master, preventing single-discipline reasoning from determining cross-cutting decisions.</w:t>
      </w:r>
    </w:p>
    <w:p>
      <w:r>
        <w:br w:type="page"/>
      </w:r>
    </w:p>
    <w:p>
      <w:pPr>
        <w:pStyle w:val="Heading1"/>
        <w:spacing w:after="160" w:before="320"/>
      </w:pPr>
      <w:r>
        <w:rPr>
          <w:rFonts w:ascii="Trebuchet MS" w:cs="Trebuchet MS" w:eastAsia="Trebuchet MS" w:hAnsi="Trebuchet MS"/>
          <w:b/>
          <w:bCs/>
          <w:sz w:val="32"/>
          <w:szCs w:val="32"/>
        </w:rPr>
        <w:t xml:space="preserve">7. Project Deliverables</w:t>
      </w:r>
    </w:p>
    <w:p>
      <w:pPr>
        <w:spacing w:after="80" w:before="80" w:line="280"/>
        <w:jc w:val="both"/>
      </w:pPr>
      <w:r>
        <w:rPr>
          <w:rFonts w:ascii="Trebuchet MS" w:cs="Trebuchet MS" w:eastAsia="Trebuchet MS" w:hAnsi="Trebuchet MS"/>
          <w:b w:val="false"/>
          <w:bCs w:val="false"/>
          <w:i w:val="false"/>
          <w:iCs w:val="false"/>
          <w:sz w:val="22"/>
          <w:szCs w:val="22"/>
        </w:rPr>
        <w:t xml:space="preserve">The MARR project deliverables comprise: the MARR pipeline source (Python, version-controlled); YAML categorisation rule definitions; the Ansible runbook library covering interface-down, OSPF neighbour-loss, and BGP session-drop diagnostics; the Containerlab topology with three FRR routers and two minions; Docker Compose manifests for the supporting stack (OpenNMS Horizon, Mattermost, Kafka, Redis, Prometheus, Grafana, Vault); the React.js dashboard reference implementation; the AE2 product demonstration script; this Project Initiation Document with appendices; and the Lab Session Log capturing the implementation work and diagnostic findings.</w:t>
      </w:r>
    </w:p>
    <w:p>
      <w:r>
        <w:br w:type="page"/>
      </w:r>
    </w:p>
    <w:p>
      <w:pPr>
        <w:pStyle w:val="Heading1"/>
        <w:spacing w:after="160" w:before="320"/>
      </w:pPr>
      <w:r>
        <w:rPr>
          <w:rFonts w:ascii="Trebuchet MS" w:cs="Trebuchet MS" w:eastAsia="Trebuchet MS" w:hAnsi="Trebuchet MS"/>
          <w:b/>
          <w:bCs/>
          <w:sz w:val="32"/>
          <w:szCs w:val="32"/>
        </w:rPr>
        <w:t xml:space="preserve">8. Project Milestones and Management</w:t>
      </w:r>
    </w:p>
    <w:p>
      <w:pPr>
        <w:spacing w:after="80" w:before="80" w:line="280"/>
        <w:jc w:val="both"/>
      </w:pPr>
      <w:r>
        <w:rPr>
          <w:rFonts w:ascii="Trebuchet MS" w:cs="Trebuchet MS" w:eastAsia="Trebuchet MS" w:hAnsi="Trebuchet MS"/>
          <w:b w:val="false"/>
          <w:bCs w:val="false"/>
          <w:i w:val="false"/>
          <w:iCs w:val="false"/>
          <w:sz w:val="22"/>
          <w:szCs w:val="22"/>
        </w:rPr>
        <w:t xml:space="preserve">The sprint plan operates three sprints with explicit hand-offs and acceptance triggers. Each sprint closes with a retrospective producing concrete corrections to the next sprint's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4000"/>
        <w:gridCol w:w="1700"/>
        <w:gridCol w:w="1300"/>
      </w:tblGrid>
      <w:tr>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Sprint</w:t>
            </w:r>
          </w:p>
        </w:tc>
        <w:tc>
          <w:tcPr>
            <w:tcW w:type="dxa" w:w="1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Window</w:t>
            </w:r>
          </w:p>
        </w:tc>
        <w:tc>
          <w:tcPr>
            <w:tcW w:type="dxa" w:w="4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Deliverables</w:t>
            </w:r>
          </w:p>
        </w:tc>
        <w:tc>
          <w:tcPr>
            <w:tcW w:type="dxa" w:w="1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Owner(s)</w:t>
            </w:r>
          </w:p>
        </w:tc>
        <w:tc>
          <w:tcPr>
            <w:tcW w:type="dxa" w:w="1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Acceptance Trigger</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1-3</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Containerlab topology with three FRR routers, working OpenNMS Horizon plus minions deployment, Docker Compose stack baseline, repository skeleton with linting/CI.</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Kayode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cold-starts cleanly via single Ansible playbook; both minions register; routers exchange BGP and OSPF.</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4-7</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Working PoC: SNMP/syslog ingestion, Kafka backbone, rule-based categoriser. Initial Ansible diagnostic runbook for link-down. Test plan baseline.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Jose, Rotimi</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The ingestion pipeline processes synthetic alerts end-to-end with a 5s latency target.</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Wks. 8-12</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with windowed grouping; suppression hook in receiver; Mattermost reporter with grouped-incident report path; full evaluation against Scenarios A-D; AE2 product demo materials.</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Biloliddin (lead), Kayode, Rotimi, Jose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demonstrably groups related events; grouped report renders correctly in Mattermost; AE2 demo rehearsed.</w:t>
            </w:r>
          </w:p>
        </w:tc>
      </w:tr>
    </w:tbl>
    <w:p>
      <w:pPr>
        <w:spacing w:after="200" w:before="80" w:line="260"/>
        <w:jc w:val="center"/>
      </w:pPr>
      <w:r>
        <w:rPr>
          <w:rFonts w:ascii="Trebuchet MS" w:cs="Trebuchet MS" w:eastAsia="Trebuchet MS" w:hAnsi="Trebuchet MS"/>
          <w:b/>
          <w:bCs/>
          <w:i/>
          <w:iCs/>
          <w:sz w:val="20"/>
          <w:szCs w:val="20"/>
        </w:rPr>
        <w:t xml:space="preserve">Table 5. Sprint plan with deliverables and acceptance triggers.</w:t>
      </w:r>
    </w:p>
    <w:p>
      <w:r>
        <w:br w:type="page"/>
      </w:r>
    </w:p>
    <w:p>
      <w:pPr>
        <w:pStyle w:val="Heading1"/>
        <w:spacing w:after="160" w:before="320"/>
      </w:pPr>
      <w:r>
        <w:rPr>
          <w:rFonts w:ascii="Trebuchet MS" w:cs="Trebuchet MS" w:eastAsia="Trebuchet MS" w:hAnsi="Trebuchet MS"/>
          <w:b/>
          <w:bCs/>
          <w:sz w:val="32"/>
          <w:szCs w:val="32"/>
        </w:rPr>
        <w:t xml:space="preserve">9. Implementation</w:t>
      </w:r>
    </w:p>
    <w:p>
      <w:pPr>
        <w:pStyle w:val="Heading2"/>
        <w:spacing w:after="120" w:before="240"/>
      </w:pPr>
      <w:r>
        <w:rPr>
          <w:rFonts w:ascii="Trebuchet MS" w:cs="Trebuchet MS" w:eastAsia="Trebuchet MS" w:hAnsi="Trebuchet MS"/>
          <w:b/>
          <w:bCs/>
          <w:sz w:val="28"/>
          <w:szCs w:val="28"/>
        </w:rPr>
        <w:t xml:space="preserve">9.1 System Architecture</w:t>
      </w:r>
    </w:p>
    <w:p>
      <w:pPr>
        <w:spacing w:after="80" w:before="80" w:line="280"/>
        <w:jc w:val="both"/>
      </w:pPr>
      <w:r>
        <w:rPr>
          <w:rFonts w:ascii="Trebuchet MS" w:cs="Trebuchet MS" w:eastAsia="Trebuchet MS" w:hAnsi="Trebuchet MS"/>
          <w:b w:val="false"/>
          <w:bCs w:val="false"/>
          <w:i w:val="false"/>
          <w:iCs w:val="false"/>
          <w:sz w:val="22"/>
          <w:szCs w:val="22"/>
        </w:rPr>
        <w:t xml:space="preserve">The architecture is a five-stage pipeline with broker-mediated communication between independently deployable stages (Bass, Clements and Kazman 2021): (1) Ingestion - SNMP and syslog listeners normalise events to a versioned JSON schema and publish to Apache Kafka; (2) Categorisation - a rule-based engine classifies against versioned YAML rulesets; (3) Correlation - a stateful Redis-backed engine groups events on a synthetic source key with atomic lease acquisition for single-emitter semantics; (4) Diagnostics - Ansible runbooks dispatch read-only show commands inside the affected device's container, with the allowlist enforced through the runbook task definitions; (5) Reporting - structured incident reports delivered via Mattermost webhook.</w:t>
      </w:r>
    </w:p>
    <w:p>
      <w:pPr>
        <w:spacing w:after="80" w:before="20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E1. MARR system architecture as deployed in v4.0 lab, 3 May 2026. Two horizontal planes (marr-net 172.21.0.0/16; marr-reporting 172.22.0.0/24); five colour-coded data flows distinguish ingestion (orange), Kafka (blue), Redis (purple), Ansible (green), and Mattermost (pink).</w:t>
      </w:r>
    </w:p>
    <w:p>
      <w:pPr>
        <w:pStyle w:val="Heading2"/>
        <w:spacing w:after="120" w:before="240"/>
      </w:pPr>
      <w:r>
        <w:rPr>
          <w:rFonts w:ascii="Trebuchet MS" w:cs="Trebuchet MS" w:eastAsia="Trebuchet MS" w:hAnsi="Trebuchet MS"/>
          <w:b/>
          <w:bCs/>
          <w:sz w:val="28"/>
          <w:szCs w:val="28"/>
        </w:rPr>
        <w:t xml:space="preserve">9.2 Key Architectural Decisions</w:t>
      </w:r>
    </w:p>
    <w:p>
      <w:pPr>
        <w:spacing w:after="80" w:before="80" w:line="280"/>
        <w:jc w:val="both"/>
      </w:pPr>
      <w:r>
        <w:rPr>
          <w:rFonts w:ascii="Trebuchet MS" w:cs="Trebuchet MS" w:eastAsia="Trebuchet MS" w:hAnsi="Trebuchet MS"/>
          <w:b w:val="false"/>
          <w:bCs w:val="false"/>
          <w:i w:val="false"/>
          <w:iCs w:val="false"/>
          <w:sz w:val="22"/>
          <w:szCs w:val="22"/>
        </w:rPr>
        <w:t xml:space="preserve">Apache Kafka was selected over RabbitMQ because the correlator was added mid-Sprint 3 without changes to the receiver, and Kafka's durable replayable log made that decoupling possible. Ansible was selected over Netmiko for the v1.0 simulation MVP because read-only enforcement is architecturally visible at the runbook task layer (a static review of YAML rather than a runtime audit of an SSH session); Netmiko remains the right choice for production deployment to physical Cisco equipment in v1, with the executor swap scoped as a single-component change. ML-based correlation is deferred until labelled production data exists. Detailed trade-off analysis is in Appendix B; the correlator implementation (source-key derivation, lease primitive, fail-safe suppression hook, idempotency marker, blocking-emission limitation, race-condition and dotenv fixes diagnosed in-session) is documented in Appendix C.</w:t>
      </w:r>
    </w:p>
    <w:p>
      <w:pPr>
        <w:pStyle w:val="Heading2"/>
        <w:spacing w:after="120" w:before="240"/>
      </w:pPr>
      <w:r>
        <w:rPr>
          <w:rFonts w:ascii="Trebuchet MS" w:cs="Trebuchet MS" w:eastAsia="Trebuchet MS" w:hAnsi="Trebuchet MS"/>
          <w:b/>
          <w:bCs/>
          <w:sz w:val="28"/>
          <w:szCs w:val="28"/>
        </w:rPr>
        <w:t xml:space="preserve">9.3 Security Architecture</w:t>
      </w:r>
    </w:p>
    <w:p>
      <w:pPr>
        <w:spacing w:after="80" w:before="80" w:line="280"/>
        <w:jc w:val="both"/>
      </w:pPr>
      <w:r>
        <w:rPr>
          <w:rFonts w:ascii="Trebuchet MS" w:cs="Trebuchet MS" w:eastAsia="Trebuchet MS" w:hAnsi="Trebuchet MS"/>
          <w:b w:val="false"/>
          <w:bCs w:val="false"/>
          <w:i w:val="false"/>
          <w:iCs w:val="false"/>
          <w:sz w:val="22"/>
          <w:szCs w:val="22"/>
        </w:rPr>
        <w:t xml:space="preserve">The threat model identifies three attack surfaces: ingestion listener, Ansible diagnostic runner, and dashboard API. Mitigations are schema validation on ingestion, runbook-layer read-only enforcement on diagnostics, and JWT-based RBAC with immutable PostgreSQL audit logging on the dashboard. A full security audit is deferred to v1; MVP security controls reduce, not eliminate, exposure (Stallings 2017).</w:t>
      </w:r>
    </w:p>
    <w:p>
      <w:r>
        <w:br w:type="page"/>
      </w:r>
    </w:p>
    <w:p>
      <w:pPr>
        <w:pStyle w:val="Heading1"/>
        <w:spacing w:after="160" w:before="320"/>
      </w:pPr>
      <w:r>
        <w:rPr>
          <w:rFonts w:ascii="Trebuchet MS" w:cs="Trebuchet MS" w:eastAsia="Trebuchet MS" w:hAnsi="Trebuchet MS"/>
          <w:b/>
          <w:bCs/>
          <w:sz w:val="32"/>
          <w:szCs w:val="32"/>
        </w:rPr>
        <w:t xml:space="preserve">10. Results</w:t>
      </w:r>
    </w:p>
    <w:p>
      <w:pPr>
        <w:spacing w:after="80" w:before="80" w:line="280"/>
        <w:jc w:val="both"/>
      </w:pPr>
      <w:r>
        <w:rPr>
          <w:rFonts w:ascii="Trebuchet MS" w:cs="Trebuchet MS" w:eastAsia="Trebuchet MS" w:hAnsi="Trebuchet MS"/>
          <w:b w:val="false"/>
          <w:bCs w:val="false"/>
          <w:i w:val="false"/>
          <w:iCs w:val="false"/>
          <w:sz w:val="22"/>
          <w:szCs w:val="22"/>
        </w:rPr>
        <w:t xml:space="preserve">Results are reported against two measurement classes. Class A captures Sprint 1 to early Sprint 3 outcomes that are confirmed and reproducible from the current v4.0 release (commit 076ea99 plus the in-session correlator work). Class B captures the Sprint 3 evaluation work that was still in progress at the time of submission. Distinguishing the two is a deliberate analytical discipline: presenting in-progress measurements as final results would be a methodological failure, but suppressing confirmed evidence would understate the project's actual standing.</w:t>
      </w:r>
    </w:p>
    <w:p>
      <w:pPr>
        <w:pStyle w:val="Heading2"/>
        <w:spacing w:after="120" w:before="240"/>
      </w:pPr>
      <w:r>
        <w:rPr>
          <w:rFonts w:ascii="Trebuchet MS" w:cs="Trebuchet MS" w:eastAsia="Trebuchet MS" w:hAnsi="Trebuchet MS"/>
          <w:b/>
          <w:bCs/>
          <w:sz w:val="28"/>
          <w:szCs w:val="28"/>
        </w:rPr>
        <w:t xml:space="preserve">10.1 Class A - Confirmed PoC Results (v4.0 plus 3 May 2026 in-session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900"/>
        <w:gridCol w:w="1900"/>
      </w:tblGrid>
      <w:tr>
        <w:tc>
          <w:tcPr>
            <w:tcW w:type="dxa" w:w="22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Requirement</w:t>
            </w:r>
          </w:p>
        </w:tc>
        <w:tc>
          <w:tcPr>
            <w:tcW w:type="dxa" w:w="2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Test Method</w:t>
            </w:r>
          </w:p>
        </w:tc>
        <w:tc>
          <w:tcPr>
            <w:tcW w:type="dxa" w:w="2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Observed Outcome</w:t>
            </w:r>
          </w:p>
        </w:tc>
        <w:tc>
          <w:tcPr>
            <w:tcW w:type="dxa" w:w="1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Source Artefact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Alert Ingestion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injection via the marr-snmp-notifier listener on 172.21.0.14; pipeline traced through to Kafka topic snmp.traps and the synchronous HTTP receiver.</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Trap-to-listener latency 197 ms; listener-to-receiver end-to-end 2.538 s. Pipeline routes events to classification and Kafka without loss across the tested injection rate.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5; Figure D1.</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FR-002 Categorisation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Rule-based classifier exercised against linkDown, BGP-5-ADJCHANGE, and OSPF-5-ADJCHG syslog families.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94% classification accuracy against the developer-authored test corpus; misclassifications confined to malformed payloads handled by FR-008.</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engine/classifier.py unit test report.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Correlation</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Cascade test of three same-source-key SNMP traps spaced 3 s apart, plus one distinct-source-key control trap, against the running correlator (python/correlator.py).</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Grouped 'Network Incident (correlated)' Mattermost report emitted with two of three cascade events; third event correctly excluded from group due to documented blocking-emission limitation (Section 9.4); control trap correctly produced its own per-event report. Suppression of redundant per-event reports verified within ~3 s of lease acquisition.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python/correlator.py; Figure D2; Lab Session Log Section 9.</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 Automated Diagnostics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playbook diagnose_link_down.yml triggered by the receiver against clab-marr-lab-router1; four community.docker.docker_container_exec invocations of FRR vtysh diagnostic commands.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Show interface, show ip ospf neighbor, show ip bgp summary, show ip route all executed; end-to-end pipeline cycle 2.714 s.</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ansible/playbooks/diagnose_link_down.yml; Figure E4.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 Reporting</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Mattermost notifier executed end-to-end after the Diag Status fidelity fix.</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Reports delivered to the network-alerts channel within the 10-second target with structured fault context and honest per-task accounting (e.g. 'Diag Status: warning - 2/6 ok, 4 failed, play rc=0').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python/mattermost_notifier.py runtime log; Figure D3.</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 Partial Alerts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Injection of a malformed SNMP trap with nodeLabel resolving to 'unknown'.</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report generated, event routed to escalation queue (no silent data loss); Diag Status correctly surfaces the four task failures rather than masking them behind play rc=0.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python/alert_receiver.py exception path log; Figure D4.</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ansible-playbook scripts/lab-start.yml (cold start on 3 May 2026).</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PLAY RECAP: ok=43, changed=11, failed=0, ignored=2 (the two ignored are by-design negative probes in STEP 4/8 of the playbook). Both minions register at STEP 6/8 within 5 minutes of Horizon healthy state. A subsequent recovery run after a workstation crash recorded ok=38, changed=9, failed=0, ignored=0.</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scripts/lab-start.yml log; Lab Session Log Sections 3 and 12.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Multi-site Readiness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REST API minion check.</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totalCount=2; both minions report status=up. Locations renamed in-session: chongjin-minion-01 at location Solent-1, hamhung-minion-01 at location Solent-2 (env-var-driven rename through MINION_LOCATION substitution in custom.properties; survives crash and restart).</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/opennms/rest/minions; opennms/minions/{chongjin,hamhung}/docker-compose.yml line 8.</w:t>
            </w:r>
          </w:p>
        </w:tc>
      </w:tr>
    </w:tbl>
    <w:p>
      <w:pPr>
        <w:spacing w:after="200" w:before="80" w:line="260"/>
        <w:jc w:val="center"/>
      </w:pPr>
      <w:r>
        <w:rPr>
          <w:rFonts w:ascii="Trebuchet MS" w:cs="Trebuchet MS" w:eastAsia="Trebuchet MS" w:hAnsi="Trebuchet MS"/>
          <w:b/>
          <w:bCs/>
          <w:i/>
          <w:iCs/>
          <w:sz w:val="20"/>
          <w:szCs w:val="20"/>
        </w:rPr>
        <w:t xml:space="preserve">Table 7. Confirmed evaluation outcomes against the Sprint 1 to Sprint 2 acceptance criteria, updated with 3 May 2026 in-session evidence including the new correlator implementation.</w:t>
      </w:r>
    </w:p>
    <w:p>
      <w:pPr>
        <w:spacing w:after="80" w:before="80" w:line="280"/>
        <w:jc w:val="both"/>
      </w:pPr>
      <w:r>
        <w:rPr>
          <w:rFonts w:ascii="Trebuchet MS" w:cs="Trebuchet MS" w:eastAsia="Trebuchet MS" w:hAnsi="Trebuchet MS"/>
          <w:b w:val="false"/>
          <w:bCs w:val="false"/>
          <w:i w:val="false"/>
          <w:iCs w:val="false"/>
          <w:sz w:val="22"/>
          <w:szCs w:val="22"/>
        </w:rPr>
        <w:t xml:space="preserve">Operational behaviour described in Table 7 is evidenced in Appendix D, with ingestion traces (Figure D1), correlation outputs (Figure D2), reporting fidelity (Figure D3), and partial-alert handling (Figure D4); the diagnostic execution layer (FR-004) is evidenced in Appendix E (Figure E4).</w:t>
      </w:r>
    </w:p>
    <w:p>
      <w:pPr>
        <w:pStyle w:val="Heading2"/>
        <w:spacing w:after="120" w:before="240"/>
      </w:pPr>
      <w:r>
        <w:rPr>
          <w:rFonts w:ascii="Trebuchet MS" w:cs="Trebuchet MS" w:eastAsia="Trebuchet MS" w:hAnsi="Trebuchet MS"/>
          <w:b/>
          <w:bCs/>
          <w:sz w:val="28"/>
          <w:szCs w:val="28"/>
        </w:rPr>
        <w:t xml:space="preserve">10.2 Class B - Sprint 3 Evaluation In Progress</w:t>
      </w:r>
    </w:p>
    <w:p>
      <w:pPr>
        <w:spacing w:after="80" w:before="80" w:line="280"/>
        <w:jc w:val="both"/>
      </w:pPr>
      <w:r>
        <w:rPr>
          <w:rFonts w:ascii="Trebuchet MS" w:cs="Trebuchet MS" w:eastAsia="Trebuchet MS" w:hAnsi="Trebuchet MS"/>
          <w:b w:val="false"/>
          <w:bCs w:val="false"/>
          <w:i w:val="false"/>
          <w:iCs w:val="false"/>
          <w:sz w:val="22"/>
          <w:szCs w:val="22"/>
        </w:rPr>
        <w:t xml:space="preserve">Outstanding evaluation activities to be appended at the AE2 demonstration: end-to-end MTTT under cascade scenario, correlation-window sensitivity at 30/60/120-second settings, alert-storm resilience at 1,000 events/minute, and a security-audit trace of the read-only enforcement boundary.</w:t>
      </w:r>
    </w:p>
    <w:p>
      <w:pPr>
        <w:pStyle w:val="Heading2"/>
        <w:spacing w:after="120" w:before="240"/>
      </w:pPr>
      <w:r>
        <w:rPr>
          <w:rFonts w:ascii="Trebuchet MS" w:cs="Trebuchet MS" w:eastAsia="Trebuchet MS" w:hAnsi="Trebuchet MS"/>
          <w:b/>
          <w:bCs/>
          <w:sz w:val="28"/>
          <w:szCs w:val="28"/>
        </w:rPr>
        <w:t xml:space="preserve">10.3 Internal Consistency versus External Validity</w:t>
      </w:r>
    </w:p>
    <w:p>
      <w:pPr>
        <w:spacing w:after="80" w:before="80" w:line="280"/>
        <w:jc w:val="both"/>
      </w:pPr>
      <w:r>
        <w:rPr>
          <w:rFonts w:ascii="Trebuchet MS" w:cs="Trebuchet MS" w:eastAsia="Trebuchet MS" w:hAnsi="Trebuchet MS"/>
          <w:b w:val="false"/>
          <w:bCs w:val="false"/>
          <w:i w:val="false"/>
          <w:iCs w:val="false"/>
          <w:sz w:val="22"/>
          <w:szCs w:val="22"/>
        </w:rPr>
        <w:t xml:space="preserve">Every metric in Table 7 is an internal-consistency measurement against a developer-authored test corpus on a Containerlab/FRRouting topology. The 94% categorisation figure is internal logical correctness, not production accuracy. The FR-003 result confirms the correlator's grouping machinery works under the synthetic cascade scenario but does not predict production traffic behaviour. Production validity would require labelled Cisco IOS samples not available within the academic timeline (Botta et al. 2012).</w:t>
      </w:r>
    </w:p>
    <w:p>
      <w:pPr>
        <w:pStyle w:val="Heading2"/>
        <w:spacing w:after="120" w:before="240"/>
      </w:pPr>
      <w:r>
        <w:rPr>
          <w:rFonts w:ascii="Trebuchet MS" w:cs="Trebuchet MS" w:eastAsia="Trebuchet MS" w:hAnsi="Trebuchet MS"/>
          <w:b/>
          <w:bCs/>
          <w:sz w:val="28"/>
          <w:szCs w:val="28"/>
        </w:rPr>
        <w:t xml:space="preserve">10.4 Peer Review and Methodological Scrutiny</w:t>
      </w:r>
    </w:p>
    <w:p>
      <w:pPr>
        <w:spacing w:after="80" w:before="80" w:line="280"/>
        <w:jc w:val="both"/>
      </w:pPr>
      <w:r>
        <w:rPr>
          <w:rFonts w:ascii="Trebuchet MS" w:cs="Trebuchet MS" w:eastAsia="Trebuchet MS" w:hAnsi="Trebuchet MS"/>
          <w:b w:val="false"/>
          <w:bCs w:val="false"/>
          <w:i w:val="false"/>
          <w:iCs w:val="false"/>
          <w:sz w:val="22"/>
          <w:szCs w:val="22"/>
        </w:rPr>
        <w:t xml:space="preserve">The methodology was peer-reviewed by the QA Lead and Scrum Master before any metric was reported (Beyer et al. 2016). Sprint retrospectives produced three corrections: window sensitivity now characterised across three settings, accuracy reported only for alert families with at least 30 test samples, and the FR-003 row's earlier 87% grouping figure replaced with a description of what the cascade test actually demonstrated.</w:t>
      </w:r>
    </w:p>
    <w:p>
      <w:r>
        <w:br w:type="page"/>
      </w:r>
    </w:p>
    <w:p>
      <w:pPr>
        <w:pStyle w:val="Heading1"/>
        <w:spacing w:after="160" w:before="320"/>
      </w:pPr>
      <w:r>
        <w:rPr>
          <w:rFonts w:ascii="Trebuchet MS" w:cs="Trebuchet MS" w:eastAsia="Trebuchet MS" w:hAnsi="Trebuchet MS"/>
          <w:b/>
          <w:bCs/>
          <w:sz w:val="32"/>
          <w:szCs w:val="32"/>
        </w:rPr>
        <w:t xml:space="preserve">11. Conclusions and Recommendations</w:t>
      </w:r>
    </w:p>
    <w:p>
      <w:pPr>
        <w:spacing w:after="80" w:before="80" w:line="280"/>
        <w:jc w:val="both"/>
      </w:pPr>
      <w:r>
        <w:rPr>
          <w:rFonts w:ascii="Trebuchet MS" w:cs="Trebuchet MS" w:eastAsia="Trebuchet MS" w:hAnsi="Trebuchet MS"/>
          <w:b w:val="false"/>
          <w:bCs w:val="false"/>
          <w:i w:val="false"/>
          <w:iCs w:val="false"/>
          <w:sz w:val="22"/>
          <w:szCs w:val="22"/>
        </w:rPr>
        <w:t xml:space="preserve">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pPr>
        <w:spacing w:after="80" w:before="80" w:line="280"/>
        <w:jc w:val="both"/>
      </w:pPr>
      <w:r>
        <w:rPr>
          <w:rFonts w:ascii="Trebuchet MS" w:cs="Trebuchet MS" w:eastAsia="Trebuchet MS" w:hAnsi="Trebuchet MS"/>
          <w:b w:val="false"/>
          <w:bCs w:val="false"/>
          <w:i w:val="false"/>
          <w:iCs w:val="false"/>
          <w:sz w:val="22"/>
          <w:szCs w:val="22"/>
        </w:rPr>
        <w:t xml:space="preserve">Three analytical conclusions follow. First, the rule-based correlator is operationally adequate for the supported alert families: the cascade test confirmed the architectural argument that rule-based correlation fails in readable, debuggable ways. The blocking-emission limitation was diagnosed and traced to a specific code line during in-session testing, with the v1.1 fix scoped (Appendix C). Architectural transparency at this level is what an ML-based correlator could not have offered.</w:t>
      </w:r>
    </w:p>
    <w:p>
      <w:pPr>
        <w:spacing w:after="80" w:before="80" w:line="280"/>
        <w:jc w:val="both"/>
      </w:pPr>
      <w:r>
        <w:rPr>
          <w:rFonts w:ascii="Trebuchet MS" w:cs="Trebuchet MS" w:eastAsia="Trebuchet MS" w:hAnsi="Trebuchet MS"/>
          <w:b w:val="false"/>
          <w:bCs w:val="false"/>
          <w:i w:val="false"/>
          <w:iCs w:val="false"/>
          <w:sz w:val="22"/>
          <w:szCs w:val="22"/>
        </w:rPr>
        <w:t xml:space="preserve">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pPr>
        <w:spacing w:after="80" w:before="80" w:line="280"/>
        <w:jc w:val="both"/>
      </w:pPr>
      <w:r>
        <w:rPr>
          <w:rFonts w:ascii="Trebuchet MS" w:cs="Trebuchet MS" w:eastAsia="Trebuchet MS" w:hAnsi="Trebuchet MS"/>
          <w:b w:val="false"/>
          <w:bCs w:val="false"/>
          <w:i w:val="false"/>
          <w:iCs w:val="false"/>
          <w:sz w:val="22"/>
          <w:szCs w:val="22"/>
        </w:rPr>
        <w:t xml:space="preserve">Third, evaluation methodology is the project's most significant professional risk. Synthetic results without explicit external-validity caveats could mislead a sponsor into deployment decisions that underperform in production. Rigorous labelling of evaluation limitations is professional honesty, not academic self-deprecation.</w:t>
      </w:r>
    </w:p>
    <w:p>
      <w:pPr>
        <w:pStyle w:val="Heading2"/>
        <w:spacing w:after="120" w:before="240"/>
      </w:pPr>
      <w:r>
        <w:rPr>
          <w:rFonts w:ascii="Trebuchet MS" w:cs="Trebuchet MS" w:eastAsia="Trebuchet MS" w:hAnsi="Trebuchet MS"/>
          <w:b/>
          <w:bCs/>
          <w:sz w:val="28"/>
          <w:szCs w:val="28"/>
        </w:rPr>
        <w:t xml:space="preserve">11.1 Recommendations for v1 Development</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Production traffic capture: deploy a read-only mirror of live NOC alert streams to build a labelled dataset for rule validation and ML model training.</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Vendor syslog adaptation: instrument the categorisation engine against Cisco IOS, Juniper JunOS, and Arista EOS syslog samples.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Ticketing integration: ServiceNow or Jira API to embed incident records into the existing NOC audit workflow.</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Security audit: penetration testing of the ingestion endpoint and Ansible runbook supply-chain integrity verification.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v1.1 targeted work: correlator non-blocking emission (snapshot-and-clear refactor); real-router-sourced traps (closes the nodeLabel='unknown' limitation); Netmiko swap for production deployment (single-component change due to runbook-layer enforcement); cold-start heartbeat health refinement; enable marr-correlator at boot.</w:t>
      </w:r>
    </w:p>
    <w:p>
      <w:r>
        <w:br w:type="page"/>
      </w:r>
    </w:p>
    <w:p>
      <w:pPr>
        <w:pStyle w:val="Heading1"/>
        <w:spacing w:after="160" w:before="320"/>
      </w:pPr>
      <w:r>
        <w:rPr>
          <w:rFonts w:ascii="Trebuchet MS" w:cs="Trebuchet MS" w:eastAsia="Trebuchet MS" w:hAnsi="Trebuchet MS"/>
          <w:b/>
          <w:bCs/>
          <w:sz w:val="32"/>
          <w:szCs w:val="32"/>
        </w:rPr>
        <w:t xml:space="preserve">12. References</w:t>
      </w:r>
    </w:p>
    <w:p>
      <w:pPr>
        <w:spacing w:after="80" w:before="80" w:line="280"/>
        <w:jc w:val="both"/>
      </w:pPr>
      <w:r>
        <w:rPr>
          <w:rFonts w:ascii="Trebuchet MS" w:cs="Trebuchet MS" w:eastAsia="Trebuchet MS" w:hAnsi="Trebuchet MS"/>
          <w:b w:val="false"/>
          <w:bCs w:val="false"/>
          <w:i w:val="false"/>
          <w:iCs w:val="false"/>
          <w:sz w:val="22"/>
          <w:szCs w:val="22"/>
        </w:rPr>
        <w:t xml:space="preserve">Abbott, M. and Fisher, M. (2015) The Art of Scalability. 2nd ed.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Bainbridge, L. (1983) Ironies of automation. Automatica, 19(6), pp.775-779.</w:t>
      </w:r>
    </w:p>
    <w:p>
      <w:pPr>
        <w:spacing w:after="80" w:before="80" w:line="280"/>
        <w:jc w:val="both"/>
      </w:pPr>
      <w:r>
        <w:rPr>
          <w:rFonts w:ascii="Trebuchet MS" w:cs="Trebuchet MS" w:eastAsia="Trebuchet MS" w:hAnsi="Trebuchet MS"/>
          <w:b w:val="false"/>
          <w:bCs w:val="false"/>
          <w:i w:val="false"/>
          <w:iCs w:val="false"/>
          <w:sz w:val="22"/>
          <w:szCs w:val="22"/>
        </w:rPr>
        <w:t xml:space="preserve">Bass, L., Clements, P. and Kazman, R. (2021) Software Architecture in Practice. 4th ed.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BCS (2022) BCS Code of Conduct for IT Professionals. The Chartered Institute for IT.</w:t>
      </w:r>
    </w:p>
    <w:p>
      <w:pPr>
        <w:spacing w:after="80" w:before="80" w:line="280"/>
        <w:jc w:val="both"/>
      </w:pPr>
      <w:r>
        <w:rPr>
          <w:rFonts w:ascii="Trebuchet MS" w:cs="Trebuchet MS" w:eastAsia="Trebuchet MS" w:hAnsi="Trebuchet MS"/>
          <w:b w:val="false"/>
          <w:bCs w:val="false"/>
          <w:i w:val="false"/>
          <w:iCs w:val="false"/>
          <w:sz w:val="22"/>
          <w:szCs w:val="22"/>
        </w:rPr>
        <w:t xml:space="preserve">Beyer, B., Jones, C., Petoff, J. and Murphy, N.R. (eds.) (2016) Site Reliability Engineering. Sebastopol: O'Reilly.</w:t>
      </w:r>
    </w:p>
    <w:p>
      <w:pPr>
        <w:spacing w:after="80" w:before="80" w:line="280"/>
        <w:jc w:val="both"/>
      </w:pPr>
      <w:r>
        <w:rPr>
          <w:rFonts w:ascii="Trebuchet MS" w:cs="Trebuchet MS" w:eastAsia="Trebuchet MS" w:hAnsi="Trebuchet MS"/>
          <w:b w:val="false"/>
          <w:bCs w:val="false"/>
          <w:i w:val="false"/>
          <w:iCs w:val="false"/>
          <w:sz w:val="22"/>
          <w:szCs w:val="22"/>
        </w:rPr>
        <w:t xml:space="preserve">Botta, A., De Donato, W., Persico, V. and Pescape, A. (2012) On the integration of cloud computing and Internet of Things. International Journal of Cloud Computing, 2(2), pp.131-149.</w:t>
      </w:r>
    </w:p>
    <w:p>
      <w:pPr>
        <w:spacing w:after="80" w:before="80" w:line="280"/>
        <w:jc w:val="both"/>
      </w:pPr>
      <w:r>
        <w:rPr>
          <w:rFonts w:ascii="Trebuchet MS" w:cs="Trebuchet MS" w:eastAsia="Trebuchet MS" w:hAnsi="Trebuchet MS"/>
          <w:b w:val="false"/>
          <w:bCs w:val="false"/>
          <w:i w:val="false"/>
          <w:iCs w:val="false"/>
          <w:sz w:val="22"/>
          <w:szCs w:val="22"/>
        </w:rPr>
        <w:t xml:space="preserve">Boutaba, R., Salahuddin, M.A., Limam, N., Ayoubi, S., Shahriar, N., Estrada-Solano, F. and Caicedo, O.M. (2018) A comprehensive survey on machine learning for networking: evolution, applications and research opportunities. Journal of Internet Services and Applications, 9(1), pp.1-99.</w:t>
      </w:r>
    </w:p>
    <w:p>
      <w:pPr>
        <w:spacing w:after="80" w:before="80" w:line="280"/>
        <w:jc w:val="both"/>
      </w:pPr>
      <w:r>
        <w:rPr>
          <w:rFonts w:ascii="Trebuchet MS" w:cs="Trebuchet MS" w:eastAsia="Trebuchet MS" w:hAnsi="Trebuchet MS"/>
          <w:b w:val="false"/>
          <w:bCs w:val="false"/>
          <w:i w:val="false"/>
          <w:iCs w:val="false"/>
          <w:sz w:val="22"/>
          <w:szCs w:val="22"/>
        </w:rPr>
        <w:t xml:space="preserve">IEEE_Challenges (2024) Challenges in Network Alert Management. IEEE Communications Magazine.</w:t>
      </w:r>
    </w:p>
    <w:p>
      <w:pPr>
        <w:spacing w:after="80" w:before="80" w:line="280"/>
        <w:jc w:val="both"/>
      </w:pPr>
      <w:r>
        <w:rPr>
          <w:rFonts w:ascii="Trebuchet MS" w:cs="Trebuchet MS" w:eastAsia="Trebuchet MS" w:hAnsi="Trebuchet MS"/>
          <w:b w:val="false"/>
          <w:bCs w:val="false"/>
          <w:i w:val="false"/>
          <w:iCs w:val="false"/>
          <w:sz w:val="22"/>
          <w:szCs w:val="22"/>
        </w:rPr>
        <w:t xml:space="preserve">IET (2023) IET Rules of Conduct. The Institution of Engineering and Technology.</w:t>
      </w:r>
    </w:p>
    <w:p>
      <w:pPr>
        <w:spacing w:after="80" w:before="80" w:line="280"/>
        <w:jc w:val="both"/>
      </w:pPr>
      <w:r>
        <w:rPr>
          <w:rFonts w:ascii="Trebuchet MS" w:cs="Trebuchet MS" w:eastAsia="Trebuchet MS" w:hAnsi="Trebuchet MS"/>
          <w:b w:val="false"/>
          <w:bCs w:val="false"/>
          <w:i w:val="false"/>
          <w:iCs w:val="false"/>
          <w:sz w:val="22"/>
          <w:szCs w:val="22"/>
        </w:rPr>
        <w:t xml:space="preserve">Kim, G., Humble, J., Debois, P. and Willis, J. (2016) The DevOps Handbook. Portland: IT Revolution Press.</w:t>
      </w:r>
    </w:p>
    <w:p>
      <w:pPr>
        <w:spacing w:after="80" w:before="80" w:line="280"/>
        <w:jc w:val="both"/>
      </w:pPr>
      <w:r>
        <w:rPr>
          <w:rFonts w:ascii="Trebuchet MS" w:cs="Trebuchet MS" w:eastAsia="Trebuchet MS" w:hAnsi="Trebuchet MS"/>
          <w:b w:val="false"/>
          <w:bCs w:val="false"/>
          <w:i w:val="false"/>
          <w:iCs w:val="false"/>
          <w:sz w:val="22"/>
          <w:szCs w:val="22"/>
        </w:rPr>
        <w:t xml:space="preserve">Limoncelli, T.A., Hogan, C.J. and Chalup, S.R. (2014) The Practice of Cloud System Administration. Boston: Addison-Wesley.</w:t>
      </w:r>
    </w:p>
    <w:p>
      <w:pPr>
        <w:spacing w:after="80" w:before="80" w:line="280"/>
        <w:jc w:val="both"/>
      </w:pPr>
      <w:r>
        <w:rPr>
          <w:rFonts w:ascii="Trebuchet MS" w:cs="Trebuchet MS" w:eastAsia="Trebuchet MS" w:hAnsi="Trebuchet MS"/>
          <w:b w:val="false"/>
          <w:bCs w:val="false"/>
          <w:i w:val="false"/>
          <w:iCs w:val="false"/>
          <w:sz w:val="22"/>
          <w:szCs w:val="22"/>
        </w:rPr>
        <w:t xml:space="preserve">Merkel, D. (2014) Docker: lightweight Linux containers for consistent development and deployment. Linux Journal, 2014(239).</w:t>
      </w:r>
    </w:p>
    <w:p>
      <w:pPr>
        <w:spacing w:after="80" w:before="80" w:line="280"/>
        <w:jc w:val="both"/>
      </w:pPr>
      <w:r>
        <w:rPr>
          <w:rFonts w:ascii="Trebuchet MS" w:cs="Trebuchet MS" w:eastAsia="Trebuchet MS" w:hAnsi="Trebuchet MS"/>
          <w:b w:val="false"/>
          <w:bCs w:val="false"/>
          <w:i w:val="false"/>
          <w:iCs w:val="false"/>
          <w:sz w:val="22"/>
          <w:szCs w:val="22"/>
        </w:rPr>
        <w:t xml:space="preserve">Nygard, M.T. (2018) Release It! 2nd ed. Raleigh: Pragmatic Bookshelf.</w:t>
      </w:r>
    </w:p>
    <w:p>
      <w:pPr>
        <w:spacing w:after="80" w:before="80" w:line="280"/>
        <w:jc w:val="both"/>
      </w:pPr>
      <w:r>
        <w:rPr>
          <w:rFonts w:ascii="Trebuchet MS" w:cs="Trebuchet MS" w:eastAsia="Trebuchet MS" w:hAnsi="Trebuchet MS"/>
          <w:b w:val="false"/>
          <w:bCs w:val="false"/>
          <w:i w:val="false"/>
          <w:iCs w:val="false"/>
          <w:sz w:val="22"/>
          <w:szCs w:val="22"/>
        </w:rPr>
        <w:t xml:space="preserve">Stallings, W. (2017) Network Security Essentials: Applications and Standards. 6th ed. Boston: Pearson.</w:t>
      </w:r>
    </w:p>
    <w:p>
      <w:pPr>
        <w:spacing w:after="80" w:before="80" w:line="280"/>
        <w:jc w:val="both"/>
      </w:pPr>
      <w:r>
        <w:rPr>
          <w:rFonts w:ascii="Trebuchet MS" w:cs="Trebuchet MS" w:eastAsia="Trebuchet MS" w:hAnsi="Trebuchet MS"/>
          <w:b w:val="false"/>
          <w:bCs w:val="false"/>
          <w:i w:val="false"/>
          <w:iCs w:val="false"/>
          <w:sz w:val="22"/>
          <w:szCs w:val="22"/>
        </w:rPr>
        <w:t xml:space="preserve">Strauch, B. (2018) Ironies of automation: still unresolved after all these years. IEEE Transactions on Human-Machine Systems, 48(5), pp.419-433.</w:t>
      </w:r>
    </w:p>
    <w:p>
      <w:r>
        <w:br w:type="page"/>
      </w:r>
    </w:p>
    <w:p>
      <w:pPr>
        <w:pStyle w:val="Heading1"/>
        <w:spacing w:after="160" w:before="320"/>
      </w:pPr>
      <w:r>
        <w:rPr>
          <w:rFonts w:ascii="Trebuchet MS" w:cs="Trebuchet MS" w:eastAsia="Trebuchet MS" w:hAnsi="Trebuchet MS"/>
          <w:b/>
          <w:bCs/>
          <w:sz w:val="32"/>
          <w:szCs w:val="32"/>
        </w:rPr>
        <w:t xml:space="preserve">Appendix A: Risk Register</w:t>
      </w:r>
    </w:p>
    <w:p>
      <w:pPr>
        <w:spacing w:after="80" w:before="80" w:line="280"/>
        <w:jc w:val="both"/>
      </w:pPr>
      <w:r>
        <w:rPr>
          <w:rFonts w:ascii="Trebuchet MS" w:cs="Trebuchet MS" w:eastAsia="Trebuchet MS" w:hAnsi="Trebuchet MS"/>
          <w:b w:val="false"/>
          <w:bCs w:val="false"/>
          <w:i w:val="false"/>
          <w:iCs w:val="false"/>
          <w:sz w:val="22"/>
          <w:szCs w:val="22"/>
        </w:rPr>
        <w:t xml:space="preserve">The following risk register links each identified risk to its originating or most relevant requirement identifier. Ratings reflect combined likelihood and impact assessment at project initiation; all risks are subject to review at each sprint retrospective. The 3 May 2026 implementation session surfaced four additional risks (R-009 through R-012) which are added to the register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00"/>
        <w:gridCol w:w="900"/>
        <w:gridCol w:w="900"/>
        <w:gridCol w:w="2200"/>
        <w:gridCol w:w="11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ID</w:t>
            </w:r>
          </w:p>
        </w:tc>
        <w:tc>
          <w:tcPr>
            <w:tcW w:type="dxa" w:w="2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Risk</w:t>
            </w:r>
          </w:p>
        </w:tc>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Likelihood</w:t>
            </w:r>
          </w:p>
        </w:tc>
        <w:tc>
          <w:tcPr>
            <w:tcW w:type="dxa" w:w="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Impact</w:t>
            </w:r>
          </w:p>
        </w:tc>
        <w:tc>
          <w:tcPr>
            <w:tcW w:type="dxa" w:w="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Rating</w:t>
            </w:r>
          </w:p>
        </w:tc>
        <w:tc>
          <w:tcPr>
            <w:tcW w:type="dxa" w:w="22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Mitigation</w:t>
            </w:r>
          </w:p>
        </w:tc>
        <w:tc>
          <w:tcPr>
            <w:tcW w:type="dxa" w:w="11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Req. Link</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R-001</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Rule drift: correlation rules calibrated on FRRouting fail against Cisco IOS or Juniper JunOS in production.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Categorisation-rule layer externalised to versioned YAML; reviewed against vendor-specific syslog samples before production use.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NFR-006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R-002</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Alert storm saturation: burst events exceeding 1,000/min cause queue backpressure and report delays.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Kafka topic partitioning and consumer-group horizontal scaling absorb overflow; queue depth monitoring triggers alerting at 80% capacity (NFR-002).</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NFR-002</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R-003</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Privileged-execution channel compromise via Ansible runbook supply-chain or container-escape vector.</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Critical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Runbook task definitions reviewed at code review; runbook directory tree under Git; HashiCorp Vault for any future credentialed runbooks; audit log of every runbook execution.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FR-004, NFR-003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R-004</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Synthetic test data bias: evaluation accuracy metrics do not reflect production edge-case variety.</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All accuracy figures labelled as internal consistency metrics, not claims of external validity. Production gap explicitly scoped for Sprint 3 evaluation.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Section 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R-005</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False correlation: unrelated independent faults attributed to a single root cause.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Confidence indicator included in every categorisation output (FR-005); low-confidence events escalated to human review rather than auto-actioned.</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 FR-005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R-006</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Correlation window miscalibration: window too narrow misses cascading faults; too wide over-aggregates independent incidents.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Window value externalised as a configurable parameter. Sensitivity analysis documented to quantify the accuracy trade-off at 30 s, 60 s, and 120 s settings.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R-007</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Automation platform as attack surface: the system itself becomes a high-value target for adversarial access to monitored networks.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Critical</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Threat model documented; attack surface includes the ingestion listener, the Ansible runner, and the dashboard API. RBAC, TLS, and audit logging are mitigations; full security audit deferred to v1.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R-008</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Incomplete telemetry: real network alerts carry malformed or missing metadata that rule-based matching cannot handle.</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High</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 explicitly operationalises tolerance for imperfect telemetry. Partial reports preferred over silent discard; escalation path provides manual fallback.</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FR-008</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R-009</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blocking-emission limitation: events arriving during the lease wait do not join the current grouped report; instead start a fresh post-emission window.</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and surfaced at Section 9.4. Idempotency marker prevents redundant emission. Snapshot-and-clear refactor scoped for v1.1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R-010</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Cold-start success-on-registration vs heartbeat-health: playbook reports success when minions register but before first ActiveMQ heartbeat round-trip; an operator could believe the system is operational while it is still in heartbeat warmup.</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in Lab Session Log Section 3.3. Recommended refinement: post-registration health-poll task before SUMMARY prints. Listed as v1.1 work in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R-011</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 Status text-scraping counts framework-internal Ansible tasks alongside operator-relevant tasks.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Always present</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Low</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Documented in Lab Session Log Section 6.4. Honest about overall task fidelity but not yet curated. Refactor to map task names against playbook definition; logged as future work.</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R-012</w:t>
            </w:r>
          </w:p>
        </w:tc>
        <w:tc>
          <w:tcPr>
            <w:tcW w:type="dxa" w:w="2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Synthetic trap source: nodeLabel='unknown' for unmanaged-source traps. The diagnostic playbook fails to resolve the target container, surfacing the failure transparently per FR-008 but not exercising the FR-004 happy path against real devices.</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Always present in v1.0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Medium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Strategy O (real-router-sourced traps) specified in Lab Session Log Section 13. Implementation estimated at 2-4 hours and scoped for v1.1 in Section 11.1.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FR-001, FR-004</w:t>
            </w:r>
          </w:p>
        </w:tc>
      </w:tr>
    </w:tbl>
    <w:p>
      <w:pPr>
        <w:spacing w:after="200" w:before="80" w:line="260"/>
        <w:jc w:val="center"/>
      </w:pPr>
      <w:r>
        <w:rPr>
          <w:rFonts w:ascii="Trebuchet MS" w:cs="Trebuchet MS" w:eastAsia="Trebuchet MS" w:hAnsi="Trebuchet MS"/>
          <w:b/>
          <w:bCs/>
          <w:i/>
          <w:iCs/>
          <w:sz w:val="20"/>
          <w:szCs w:val="20"/>
        </w:rPr>
        <w:t xml:space="preserve">Table 8. Risk register including the four new risks surfaced during the 3 May 2026 implementation session.</w:t>
      </w:r>
    </w:p>
    <w:p>
      <w:r>
        <w:br w:type="page"/>
      </w:r>
    </w:p>
    <w:p>
      <w:pPr>
        <w:pStyle w:val="Heading1"/>
        <w:spacing w:after="160" w:before="320"/>
      </w:pPr>
      <w:r>
        <w:rPr>
          <w:rFonts w:ascii="Trebuchet MS" w:cs="Trebuchet MS" w:eastAsia="Trebuchet MS" w:hAnsi="Trebuchet MS"/>
          <w:b/>
          <w:bCs/>
          <w:sz w:val="32"/>
          <w:szCs w:val="32"/>
        </w:rPr>
        <w:t xml:space="preserve">Appendix B: Technology Stack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Component</w:t>
            </w:r>
          </w:p>
        </w:tc>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Technology</w:t>
            </w:r>
          </w:p>
        </w:tc>
        <w:tc>
          <w:tcPr>
            <w:tcW w:type="dxa" w:w="4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Justification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Ingestion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(pysnmp, syslog)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Native SNMP trap and syslog handling; lightweight listener footprint; in-container deployment via clab-marr-lab-snmp-notifier.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Message Broker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Apache Kafka</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Durable, partitioned, replayable event log; supports late-arriving consumers (the correlator was added mid-Sprint 3 without changes to the receiver). Topics: raw.alerts, snmp.traps, syslog.events.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Categorisation Engine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 YAML rulesets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Externalised, versioned rulesets enable rule updates without code deployment.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Correlation Engine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(stateful, windowed) with Redis backing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Configurable window; source-key derivation from nodeLabel + ifIndex; atomic SET NX EX lease primitive for single-emitter semantics; idempotency marker prevents duplicate emission.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State Store (Correlator)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Redis 7.2.13</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Sorted-set windowing, atomic SET NX EX leases, per-event diagnostic context store with TTL. Key namespace marr:correlator:*.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Diagnostic Executor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 community.docker.docker_container_exec</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Monitoring Platform</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Horizon 33.0.2</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Report Delivery</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Python + Mattermost webhook</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 delivery surface for v1.0; minimal dependency surface; per-event and grouped (correlated) report paths share the same notifier module.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Database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PostgreSQL 14</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Relational schema for incident history and runbook store; audit log immutability enforced at DB level.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Dashboard</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React.js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Modern, browser-native; no specialist training required (FR-007).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Credential Management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HashiCorp Vault 1.16</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No credentials in version control or environment files; dynamic secret injection. Currently provisioned but not yet exercising any v1.0 runbook (Ansible runbooks against Containerlab require no external credentials); reserved for v1 production-adjacent runbooks.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Test Environment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Containerlab + FRRouting</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Runs on team hardware; integrates with Docker Compose; acknowledged FRR/IOS fidelity gap.</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Service Management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systemd (host-side) + Docker Compose (containers)</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Deployment</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Docker Compose + Ansible</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Single-command environment via lab-start.yml; reproducible across team machines (Merkel 2014).</w:t>
            </w:r>
          </w:p>
        </w:tc>
      </w:tr>
    </w:tbl>
    <w:p>
      <w:pPr>
        <w:spacing w:after="200" w:before="80" w:line="260"/>
        <w:jc w:val="center"/>
      </w:pPr>
      <w:r>
        <w:rPr>
          <w:rFonts w:ascii="Trebuchet MS" w:cs="Trebuchet MS" w:eastAsia="Trebuchet MS" w:hAnsi="Trebuchet MS"/>
          <w:b/>
          <w:bCs/>
          <w:i/>
          <w:iCs/>
          <w:sz w:val="20"/>
          <w:szCs w:val="20"/>
        </w:rPr>
        <w:t xml:space="preserve">Table 9. Technology stack and component justification.</w:t>
      </w:r>
    </w:p>
    <w:p>
      <w:pPr>
        <w:pStyle w:val="Heading2"/>
        <w:spacing w:after="120" w:before="240"/>
      </w:pPr>
      <w:r>
        <w:rPr>
          <w:rFonts w:ascii="Trebuchet MS" w:cs="Trebuchet MS" w:eastAsia="Trebuchet MS" w:hAnsi="Trebuchet MS"/>
          <w:b/>
          <w:bCs/>
          <w:sz w:val="28"/>
          <w:szCs w:val="28"/>
        </w:rPr>
        <w:t xml:space="preserve">B.1 Architectural Trade-off Rationale</w:t>
      </w:r>
    </w:p>
    <w:p>
      <w:pPr>
        <w:spacing w:after="80" w:before="80" w:line="280"/>
        <w:jc w:val="both"/>
      </w:pPr>
      <w:r>
        <w:rPr>
          <w:rFonts w:ascii="Trebuchet MS" w:cs="Trebuchet MS" w:eastAsia="Trebuchet MS" w:hAnsi="Trebuchet MS"/>
          <w:b w:val="false"/>
          <w:bCs w:val="false"/>
          <w:i w:val="false"/>
          <w:iCs w:val="false"/>
          <w:sz w:val="22"/>
          <w:szCs w:val="22"/>
        </w:rPr>
        <w:t xml:space="preserve">The technology selections in Table 9 follow from explicit trade-off analysis. The four most significant decisions are recorded here for reviewer scrutiny.</w:t>
      </w:r>
    </w:p>
    <w:p>
      <w:pPr>
        <w:spacing w:after="80" w:before="80" w:line="280"/>
        <w:jc w:val="both"/>
      </w:pPr>
      <w:r>
        <w:rPr>
          <w:rFonts w:ascii="Trebuchet MS" w:cs="Trebuchet MS" w:eastAsia="Trebuchet MS" w:hAnsi="Trebuchet MS"/>
          <w:b/>
          <w:bCs/>
          <w:i w:val="false"/>
          <w:iCs w:val="false"/>
          <w:sz w:val="22"/>
          <w:szCs w:val="22"/>
        </w:rPr>
        <w:t xml:space="preserve">Apache Kafka over RabbitMQ. </w:t>
      </w:r>
      <w:r>
        <w:rPr>
          <w:rFonts w:ascii="Trebuchet MS" w:cs="Trebuchet MS" w:eastAsia="Trebuchet MS" w:hAnsi="Trebuchet MS"/>
          <w:b w:val="false"/>
          <w:bCs w:val="false"/>
          <w:i w:val="false"/>
          <w:iCs w:val="false"/>
          <w:sz w:val="22"/>
          <w:szCs w:val="22"/>
        </w:rPr>
        <w:t xml:space="preserve">Kafka offers durable, partitioned, replayable event logs that support late-arriving consumers; RabbitMQ's queue-and-consume model is simpler operationally but does not preserve the temporal record needed for a correlator added after the receiver. The architectural benefit of replayability was realised in practice when the correlator was added mid-Sprint 3 by subscribing to existing topics with no change to the receiver. The MARR Kafka deployment is intentionally minimal (single broker, three topics, single partition each); cluster operations overhead does not materialise at this scale. Multi-broker clustering is identified as v1 hardening work.</w:t>
      </w:r>
    </w:p>
    <w:p>
      <w:pPr>
        <w:spacing w:after="80" w:before="80" w:line="280"/>
        <w:jc w:val="both"/>
      </w:pPr>
      <w:r>
        <w:rPr>
          <w:rFonts w:ascii="Trebuchet MS" w:cs="Trebuchet MS" w:eastAsia="Trebuchet MS" w:hAnsi="Trebuchet MS"/>
          <w:b/>
          <w:bCs/>
          <w:i w:val="false"/>
          <w:iCs w:val="false"/>
          <w:sz w:val="22"/>
          <w:szCs w:val="22"/>
        </w:rPr>
        <w:t xml:space="preserve">Rule-based correlation, ML deferred. </w:t>
      </w:r>
      <w:r>
        <w:rPr>
          <w:rFonts w:ascii="Trebuchet MS" w:cs="Trebuchet MS" w:eastAsia="Trebuchet MS" w:hAnsi="Trebuchet MS"/>
          <w:b w:val="false"/>
          <w:bCs w:val="false"/>
          <w:i w:val="false"/>
          <w:iCs w:val="false"/>
          <w:sz w:val="22"/>
          <w:szCs w:val="22"/>
        </w:rPr>
        <w:t xml:space="preserve">Rule-based correlation fails in transparent, debuggable ways an engineer can correct under operational pressure; ML failure modes are statistical, not logical. The architectural provision for an ML plugin in v1 reflects the correct sequencing: build the labelled dataset first, then build the model (Boutaba et al. 2018).</w:t>
      </w:r>
    </w:p>
    <w:p>
      <w:pPr>
        <w:spacing w:after="80" w:before="80" w:line="280"/>
        <w:jc w:val="both"/>
      </w:pPr>
      <w:r>
        <w:rPr>
          <w:rFonts w:ascii="Trebuchet MS" w:cs="Trebuchet MS" w:eastAsia="Trebuchet MS" w:hAnsi="Trebuchet MS"/>
          <w:b/>
          <w:bCs/>
          <w:i w:val="false"/>
          <w:iCs w:val="false"/>
          <w:sz w:val="22"/>
          <w:szCs w:val="22"/>
        </w:rPr>
        <w:t xml:space="preserve">Ansible over Netmiko for v1.0. </w:t>
      </w:r>
      <w:r>
        <w:rPr>
          <w:rFonts w:ascii="Trebuchet MS" w:cs="Trebuchet MS" w:eastAsia="Trebuchet MS" w:hAnsi="Trebuchet MS"/>
          <w:b w:val="false"/>
          <w:bCs w:val="false"/>
          <w:i w:val="false"/>
          <w:iCs w:val="false"/>
          <w:sz w:val="22"/>
          <w:szCs w:val="22"/>
        </w:rPr>
        <w:t xml:space="preserve">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community.docker.docker_container_exec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pPr>
        <w:spacing w:after="80" w:before="80" w:line="280"/>
        <w:jc w:val="both"/>
      </w:pPr>
      <w:r>
        <w:rPr>
          <w:rFonts w:ascii="Trebuchet MS" w:cs="Trebuchet MS" w:eastAsia="Trebuchet MS" w:hAnsi="Trebuchet MS"/>
          <w:b/>
          <w:bCs/>
          <w:i w:val="false"/>
          <w:iCs w:val="false"/>
          <w:sz w:val="22"/>
          <w:szCs w:val="22"/>
        </w:rPr>
        <w:t xml:space="preserve">Containerlab/FRRouting over Cisco Modeling Labs. </w:t>
      </w:r>
      <w:r>
        <w:rPr>
          <w:rFonts w:ascii="Trebuchet MS" w:cs="Trebuchet MS" w:eastAsia="Trebuchet MS" w:hAnsi="Trebuchet MS"/>
          <w:b w:val="false"/>
          <w:bCs w:val="false"/>
          <w:i w:val="false"/>
          <w:iCs w:val="false"/>
          <w:sz w:val="22"/>
          <w:szCs w:val="22"/>
        </w:rPr>
        <w:t xml:space="preserve">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r>
        <w:br w:type="page"/>
      </w:r>
    </w:p>
    <w:p>
      <w:pPr>
        <w:pStyle w:val="Heading1"/>
        <w:spacing w:after="160" w:before="320"/>
      </w:pPr>
      <w:r>
        <w:rPr>
          <w:rFonts w:ascii="Trebuchet MS" w:cs="Trebuchet MS" w:eastAsia="Trebuchet MS" w:hAnsi="Trebuchet MS"/>
          <w:b/>
          <w:bCs/>
          <w:sz w:val="32"/>
          <w:szCs w:val="32"/>
        </w:rPr>
        <w:t xml:space="preserve">Appendix C: Correlation Engine Implementation and Window Sensitivity</w:t>
      </w:r>
    </w:p>
    <w:p>
      <w:pPr>
        <w:pStyle w:val="Heading2"/>
        <w:spacing w:after="120" w:before="240"/>
      </w:pPr>
      <w:r>
        <w:rPr>
          <w:rFonts w:ascii="Trebuchet MS" w:cs="Trebuchet MS" w:eastAsia="Trebuchet MS" w:hAnsi="Trebuchet MS"/>
          <w:b/>
          <w:bCs/>
          <w:sz w:val="28"/>
          <w:szCs w:val="28"/>
        </w:rPr>
        <w:t xml:space="preserve">C.1 Correlator Implementation</w:t>
      </w:r>
    </w:p>
    <w:p>
      <w:pPr>
        <w:spacing w:after="80" w:before="80" w:line="280"/>
        <w:jc w:val="both"/>
      </w:pPr>
      <w:r>
        <w:rPr>
          <w:rFonts w:ascii="Trebuchet MS" w:cs="Trebuchet MS" w:eastAsia="Trebuchet MS" w:hAnsi="Trebuchet MS"/>
          <w:b w:val="false"/>
          <w:bCs w:val="false"/>
          <w:i w:val="false"/>
          <w:iCs w:val="false"/>
          <w:sz w:val="22"/>
          <w:szCs w:val="22"/>
        </w:rPr>
        <w:t xml:space="preserve">FR-003 (correlation) and the suppression of redundant per-event reports are implemented as a separate process from the receiver, communicating through Kafka and Redis rather than through in-process function calls. This separation is a deliberate architectural choice.</w:t>
      </w:r>
    </w:p>
    <w:p>
      <w:pPr>
        <w:spacing w:after="80" w:before="80" w:line="280"/>
        <w:jc w:val="both"/>
      </w:pPr>
      <w:r>
        <w:rPr>
          <w:rFonts w:ascii="Trebuchet MS" w:cs="Trebuchet MS" w:eastAsia="Trebuchet MS" w:hAnsi="Trebuchet MS"/>
          <w:b w:val="false"/>
          <w:bCs w:val="false"/>
          <w:i w:val="false"/>
          <w:iCs w:val="false"/>
          <w:sz w:val="22"/>
          <w:szCs w:val="22"/>
        </w:rPr>
        <w:t xml:space="preserve">The correlator subscribes to the same Kafka topics that the receiver writes to (raw.alerts and snmp.traps) with consumer-group identity 'marr-correlator' and auto_offset_reset='latest'. For each event, the correlator computes a synthetic source key from nodeLabel and the SNMP ifIndex extracted from the event's varBinds, then ZADDs into a Redis sorted set keyed by 'marr:correlator:window:&lt;source_key&gt;'. When the sorted-set count reaches a threshold (default 2), the correlator attempts an atomic SET NX EX on a lease key. The first correlator instance to acquire the lease becomes the single emitter; any subsequent correlator instance observing the threshold but failing the SET NX returns to the consumer loop. This is the standard Redis-mediated single-emitter primitive.</w:t>
      </w:r>
    </w:p>
    <w:p>
      <w:pPr>
        <w:spacing w:after="80" w:before="80" w:line="280"/>
        <w:jc w:val="both"/>
      </w:pPr>
      <w:r>
        <w:rPr>
          <w:rFonts w:ascii="Trebuchet MS" w:cs="Trebuchet MS" w:eastAsia="Trebuchet MS" w:hAnsi="Trebuchet MS"/>
          <w:b w:val="false"/>
          <w:bCs w:val="false"/>
          <w:i w:val="false"/>
          <w:iCs w:val="false"/>
          <w:sz w:val="22"/>
          <w:szCs w:val="22"/>
        </w:rPr>
        <w:t xml:space="preserve">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correlator unavailability degrades gracefully into per-event flow, never into silent alert loss.</w:t>
      </w:r>
    </w:p>
    <w:p>
      <w:pPr>
        <w:spacing w:after="80" w:before="80" w:line="280"/>
        <w:jc w:val="both"/>
      </w:pPr>
      <w:r>
        <w:rPr>
          <w:rFonts w:ascii="Trebuchet MS" w:cs="Trebuchet MS" w:eastAsia="Trebuchet MS" w:hAnsi="Trebuchet MS"/>
          <w:b w:val="false"/>
          <w:bCs w:val="false"/>
          <w:i w:val="false"/>
          <w:iCs w:val="false"/>
          <w:sz w:val="22"/>
          <w:szCs w:val="22"/>
        </w:rPr>
        <w:t xml:space="preserve">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pPr>
        <w:spacing w:after="80" w:before="80" w:line="280"/>
        <w:jc w:val="both"/>
      </w:pPr>
      <w:r>
        <w:rPr>
          <w:rFonts w:ascii="Trebuchet MS" w:cs="Trebuchet MS" w:eastAsia="Trebuchet MS" w:hAnsi="Trebuchet MS"/>
          <w:b/>
          <w:bCs/>
          <w:i w:val="false"/>
          <w:iCs w:val="false"/>
          <w:sz w:val="22"/>
          <w:szCs w:val="22"/>
        </w:rPr>
        <w:t xml:space="preserve">Three correctness properties. </w:t>
      </w:r>
      <w:r>
        <w:rPr>
          <w:rFonts w:ascii="Trebuchet MS" w:cs="Trebuchet MS" w:eastAsia="Trebuchet MS" w:hAnsi="Trebuchet MS"/>
          <w:b w:val="false"/>
          <w:bCs w:val="false"/>
          <w:i w:val="false"/>
          <w:iCs w:val="false"/>
          <w:sz w:val="22"/>
          <w:szCs w:val="22"/>
        </w:rPr>
        <w:t xml:space="preserve">First, the correlator and the receiver cannot disagree on source-key derivation because they import from a shared module. Second, the system is fail-safe in the direction that matters: correlator unavailability degrades to per-event reporting, not to silent suppression. Third, the idempotency marker means even if the lease primitive fails the grouped report is emitted at most once per window per source key.</w:t>
      </w:r>
    </w:p>
    <w:p>
      <w:pPr>
        <w:spacing w:after="80" w:before="80" w:line="280"/>
        <w:jc w:val="both"/>
      </w:pPr>
      <w:r>
        <w:rPr>
          <w:rFonts w:ascii="Trebuchet MS" w:cs="Trebuchet MS" w:eastAsia="Trebuchet MS" w:hAnsi="Trebuchet MS"/>
          <w:b/>
          <w:bCs/>
          <w:i w:val="false"/>
          <w:iCs w:val="false"/>
          <w:sz w:val="22"/>
          <w:szCs w:val="22"/>
        </w:rPr>
        <w:t xml:space="preserve">Documented v1 limitation. </w:t>
      </w:r>
      <w:r>
        <w:rPr>
          <w:rFonts w:ascii="Trebuchet MS" w:cs="Trebuchet MS" w:eastAsia="Trebuchet MS" w:hAnsi="Trebuchet MS"/>
          <w:b w:val="false"/>
          <w:bCs w:val="false"/>
          <w:i w:val="false"/>
          <w:iCs w:val="false"/>
          <w:sz w:val="22"/>
          <w:szCs w:val="22"/>
        </w:rPr>
        <w:t xml:space="preserve">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(lease holder reads window contents at acquisition time, accumulates further events during the wait, emits the union). Approximately one day of focused implementation work.</w:t>
      </w:r>
    </w:p>
    <w:p>
      <w:pPr>
        <w:spacing w:after="80" w:before="80" w:line="280"/>
        <w:jc w:val="both"/>
      </w:pPr>
      <w:r>
        <w:rPr>
          <w:rFonts w:ascii="Trebuchet MS" w:cs="Trebuchet MS" w:eastAsia="Trebuchet MS" w:hAnsi="Trebuchet MS"/>
          <w:b w:val="false"/>
          <w:bCs w:val="false"/>
          <w:i w:val="false"/>
          <w:iCs w:val="false"/>
          <w:sz w:val="22"/>
          <w:szCs w:val="22"/>
        </w:rPr>
        <w:t xml:space="preserve">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pPr>
        <w:pStyle w:val="Heading2"/>
        <w:spacing w:after="120" w:before="240"/>
      </w:pPr>
      <w:r>
        <w:rPr>
          <w:rFonts w:ascii="Trebuchet MS" w:cs="Trebuchet MS" w:eastAsia="Trebuchet MS" w:hAnsi="Trebuchet MS"/>
          <w:b/>
          <w:bCs/>
          <w:sz w:val="28"/>
          <w:szCs w:val="28"/>
        </w:rPr>
        <w:t xml:space="preserve">C.2 Window Sensitivity Analysis</w:t>
      </w:r>
    </w:p>
    <w:p>
      <w:pPr>
        <w:spacing w:after="80" w:before="80" w:line="280"/>
        <w:jc w:val="both"/>
      </w:pPr>
      <w:r>
        <w:rPr>
          <w:rFonts w:ascii="Trebuchet MS" w:cs="Trebuchet MS" w:eastAsia="Trebuchet MS" w:hAnsi="Trebuchet MS"/>
          <w:b w:val="false"/>
          <w:bCs w:val="false"/>
          <w:i w:val="false"/>
          <w:iCs w:val="false"/>
          <w:sz w:val="22"/>
          <w:szCs w:val="22"/>
        </w:rPr>
        <w:t xml:space="preserve">The correlation window is the most significant tunable parameter affecting correlator precision and recall. Setting it too narrow splits cascading faults across multiple groups (interface-down triggering OSPF neighbour-loss after a 4-second OSPF dead-interval); setting it too wide aggregates independent faults into spurious compound incidents. Sprint 3 evaluation characterises the trade-off across 30 s, 60 s, and 120 s settings using Scenario A and a synthetic dual-fault scenario.</w:t>
      </w:r>
    </w:p>
    <w:p>
      <w:pPr>
        <w:spacing w:after="80" w:before="80" w:line="280"/>
        <w:jc w:val="both"/>
      </w:pPr>
      <w:r>
        <w:rPr>
          <w:rFonts w:ascii="Trebuchet MS" w:cs="Trebuchet MS" w:eastAsia="Trebuchet MS" w:hAnsi="Trebuchet MS"/>
          <w:b w:val="false"/>
          <w:bCs w:val="false"/>
          <w:i w:val="false"/>
          <w:iCs w:val="false"/>
          <w:sz w:val="22"/>
          <w:szCs w:val="22"/>
        </w:rPr>
        <w:t xml:space="preserve">The default window of 30 seconds was chosen as the 3 May starting point on the basis that link-failure cascades typically complete within 10-15 seconds in the FRR topology. The parameter is externalised so production deployment can tune it without a rebuild.</w:t>
      </w:r>
    </w:p>
    <w:p>
      <w:r>
        <w:br w:type="page"/>
      </w:r>
    </w:p>
    <w:p>
      <w:pPr>
        <w:pStyle w:val="Heading1"/>
        <w:spacing w:after="160" w:before="320"/>
      </w:pPr>
      <w:r>
        <w:rPr>
          <w:rFonts w:ascii="Trebuchet MS" w:cs="Trebuchet MS" w:eastAsia="Trebuchet MS" w:hAnsi="Trebuchet MS"/>
          <w:b/>
          <w:bCs/>
          <w:sz w:val="32"/>
          <w:szCs w:val="32"/>
        </w:rPr>
        <w:t xml:space="preserve">Appendix D: System Operational Evidence</w:t>
      </w:r>
    </w:p>
    <w:p>
      <w:pPr>
        <w:spacing w:after="80" w:before="80" w:line="280"/>
        <w:jc w:val="both"/>
      </w:pPr>
      <w:r>
        <w:rPr>
          <w:rFonts w:ascii="Trebuchet MS" w:cs="Trebuchet MS" w:eastAsia="Trebuchet MS" w:hAnsi="Trebuchet MS"/>
          <w:b w:val="false"/>
          <w:bCs w:val="false"/>
          <w:i w:val="false"/>
          <w:iCs w:val="false"/>
          <w:sz w:val="22"/>
          <w:szCs w:val="22"/>
        </w:rPr>
        <w:t xml:space="preserve">This appendix records the artefacts that substantiate the Class A results in Section 10.1. Every entry is reproducible from the v4.0 release of the project repository plus the in-session work of 3 May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3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Source / Location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D1</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ingestion and Kafka publication trace.</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D1 below. Captured 3 May 2026; Lab Session Log Section 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D2</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Correlated incident report from cascade test.</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D2 below. Captured 3 May 2026;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D3</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Per-event diagnostic report with corrected Diag Status.</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D3 below. Captured 3 May 2026; Lab Session Log Section 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D4</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Partial incident report from malformed input (FR-008).</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D4 below. Captured 3 May 2026; Lab Session Log Section 6.5.</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D5</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Cold-start playbook output (Deployment evidence).</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PLAY RECAP: ok=43, changed=11, failed=0, ignored=2 (3 May 2026 cold start). Recovery run after workstation crash: ok=38, changed=9, failed=0, ignored=0. Lab Session Log Section 3 and 12.</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D6</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REST API minion check after rename and post-recovery.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curl -s -u admin:admin http://localhost:8980/opennms/rest/minions returning totalCount=2; chongjin-minion-01 status=up location=Solent-1; hamhung-minion-01 status=up location=Solent-2. Locations preserved through workstation crash and lab restart.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D7</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Container inventory.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docker compose ps listing all active containers across marr-net (172.21.0.0/16) and marr-reporting (172.22.0.0/24).</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D8</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Git release tag history.</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v1.0 (ab943c3) through v4.0 (076ea99); annotated tags pushed to both KariocaMarron and com617-industrial-2025-1 remotes.</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D9</w:t>
            </w:r>
          </w:p>
        </w:tc>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Repository remote configuration.</w:t>
            </w:r>
          </w:p>
        </w:tc>
        <w:tc>
          <w:tcPr>
            <w:tcW w:type="dxa" w:w="5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git remote -v output confirming dual-remote push strategy.</w:t>
            </w:r>
          </w:p>
        </w:tc>
      </w:tr>
    </w:tbl>
    <w:p>
      <w:pPr>
        <w:spacing w:after="200" w:before="80" w:line="260"/>
        <w:jc w:val="center"/>
      </w:pPr>
      <w:r>
        <w:rPr>
          <w:rFonts w:ascii="Trebuchet MS" w:cs="Trebuchet MS" w:eastAsia="Trebuchet MS" w:hAnsi="Trebuchet MS"/>
          <w:b/>
          <w:bCs/>
          <w:i/>
          <w:iCs/>
          <w:sz w:val="20"/>
          <w:szCs w:val="20"/>
        </w:rPr>
        <w:t xml:space="preserve">Table 11. System operational evidence index.</w:t>
      </w:r>
    </w:p>
    <w:p>
      <w:pPr>
        <w:spacing w:after="80" w:before="200"/>
        <w:jc w:val="center"/>
      </w:pPr>
      <w:r>
        <w:drawing>
          <wp:inline distT="0" distB="0" distL="0" distR="0">
            <wp:extent cx="4381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8672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D1. SNMP trap ingestion and Kafka publication trace (FR-001 evidence).</w:t>
      </w:r>
    </w:p>
    <w:p>
      <w:pPr>
        <w:spacing w:after="240" w:before="80" w:line="280"/>
        <w:jc w:val="both"/>
      </w:pPr>
      <w:r>
        <w:rPr>
          <w:rFonts w:ascii="Trebuchet MS" w:cs="Trebuchet MS" w:eastAsia="Trebuchet MS" w:hAnsi="Trebuchet MS"/>
          <w:sz w:val="22"/>
          <w:szCs w:val="22"/>
        </w:rPr>
        <w:t xml:space="preserve">This capture shows the complete ingestion path from SNMP trap injection through the listener service to Kafka topic publication. Measured latency of 197 ms (trap-to-listener) and 2.538 s end-to-end confirms compliance with NFR-004 performance constraints and demonstrates reliable event normalisation and pipeline entry under test conditions.</w:t>
      </w:r>
    </w:p>
    <w:p>
      <w:pPr>
        <w:spacing w:after="80" w:before="20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3367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D2. Correlated incident report generated from cascade test (FR-003 evidence).</w:t>
      </w:r>
    </w:p>
    <w:p>
      <w:pPr>
        <w:spacing w:after="240" w:before="80" w:line="280"/>
        <w:jc w:val="both"/>
      </w:pPr>
      <w:r>
        <w:rPr>
          <w:rFonts w:ascii="Trebuchet MS" w:cs="Trebuchet MS" w:eastAsia="Trebuchet MS" w:hAnsi="Trebuchet MS"/>
          <w:sz w:val="22"/>
          <w:szCs w:val="22"/>
        </w:rPr>
        <w:t xml:space="preserve">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pPr>
        <w:spacing w:after="80" w:before="20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908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D3. Per-event diagnostic report with corrected Diag Status output (FR-005 evidence).</w:t>
      </w:r>
    </w:p>
    <w:p>
      <w:pPr>
        <w:spacing w:after="240" w:before="80" w:line="280"/>
        <w:jc w:val="both"/>
      </w:pPr>
      <w:r>
        <w:rPr>
          <w:rFonts w:ascii="Trebuchet MS" w:cs="Trebuchet MS" w:eastAsia="Trebuchet MS" w:hAnsi="Trebuchet MS"/>
          <w:sz w:val="22"/>
          <w:szCs w:val="22"/>
        </w:rPr>
        <w:t xml:space="preserve">The report demonstrates successful end-to-end execution of ingestion, diagnostics, and reporting, with accurate task-level status ('2/6 ok, 4 failed') replacing the earlier false-positive success indicator. This confirms reporting fidelity and transparency in diagnostic output.</w:t>
      </w:r>
    </w:p>
    <w:p>
      <w:pPr>
        <w:spacing w:after="80" w:before="20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908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D4. Partial incident report generated from malformed input (FR-008 evidence).</w:t>
      </w:r>
    </w:p>
    <w:p>
      <w:pPr>
        <w:spacing w:after="240" w:before="80" w:line="280"/>
        <w:jc w:val="both"/>
      </w:pPr>
      <w:r>
        <w:rPr>
          <w:rFonts w:ascii="Trebuchet MS" w:cs="Trebuchet MS" w:eastAsia="Trebuchet MS" w:hAnsi="Trebuchet MS"/>
          <w:sz w:val="22"/>
          <w:szCs w:val="22"/>
        </w:rPr>
        <w:t xml:space="preserve">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r>
        <w:br w:type="page"/>
      </w:r>
    </w:p>
    <w:p>
      <w:pPr>
        <w:pStyle w:val="Heading1"/>
        <w:spacing w:after="160" w:before="320"/>
      </w:pPr>
      <w:r>
        <w:rPr>
          <w:rFonts w:ascii="Trebuchet MS" w:cs="Trebuchet MS" w:eastAsia="Trebuchet MS" w:hAnsi="Trebuchet MS"/>
          <w:b/>
          <w:bCs/>
          <w:sz w:val="32"/>
          <w:szCs w:val="32"/>
        </w:rPr>
        <w:t xml:space="preserve">Appendix E: Pipeline Test Evidence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system architecture diagram (Figure E1).</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Two-plane architecture diagram embedded in Section 9.1 showing all five pipeline stages, real component names from v4.0 lab, addresses verified 3 May 2026, and colour-coded data flows. Source: figure_E1_marr_architecture.svg.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Correlator integration log (FR-003 traceability).</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Receiver suppression log.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Ansible diagnostic runbook execution trace (FR-004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as Figure E4 below. Captured from marr-receiver.service journal, 3 May 2026.</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 trap injection traces.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snmptrap commands used for evidence capture (ifIndex values 1-99 and the cascade values 10/11, 20/21, 30/31, 88) and /tmp/snmp.log excerpts inside clab-marr-lab-snmp-notifier.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Race-condition diagnosis and fix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E7</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Dotenv configuration-loading fix evidence.</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pPr>
        <w:spacing w:after="200" w:before="80" w:line="260"/>
        <w:jc w:val="center"/>
      </w:pPr>
      <w:r>
        <w:rPr>
          <w:rFonts w:ascii="Trebuchet MS" w:cs="Trebuchet MS" w:eastAsia="Trebuchet MS" w:hAnsi="Trebuchet MS"/>
          <w:b/>
          <w:bCs/>
          <w:i/>
          <w:iCs/>
          <w:sz w:val="20"/>
          <w:szCs w:val="20"/>
        </w:rPr>
        <w:t xml:space="preserve">Table 12. Pipeline test evidence supporting Section 10.1.</w:t>
      </w:r>
    </w:p>
    <w:p>
      <w:pPr>
        <w:spacing w:after="80" w:before="20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1942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E4. Ansible diagnostic runbook execution trace (FR-004 evidence).</w:t>
      </w:r>
    </w:p>
    <w:p>
      <w:pPr>
        <w:spacing w:after="240" w:before="80" w:line="280"/>
        <w:jc w:val="both"/>
      </w:pPr>
      <w:r>
        <w:rPr>
          <w:rFonts w:ascii="Trebuchet MS" w:cs="Trebuchet MS" w:eastAsia="Trebuchet MS" w:hAnsi="Trebuchet MS"/>
          <w:sz w:val="22"/>
          <w:szCs w:val="22"/>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r>
        <w:br w:type="page"/>
      </w:r>
    </w:p>
    <w:p>
      <w:pPr>
        <w:pStyle w:val="Heading1"/>
        <w:spacing w:after="160" w:before="320"/>
      </w:pPr>
      <w:r>
        <w:rPr>
          <w:rFonts w:ascii="Trebuchet MS" w:cs="Trebuchet MS" w:eastAsia="Trebuchet MS" w:hAnsi="Trebuchet MS"/>
          <w:b/>
          <w:bCs/>
          <w:sz w:val="32"/>
          <w:szCs w:val="32"/>
        </w:rPr>
        <w:t xml:space="preserve">Appendix F: Architecture Artefacts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network topology diagram.</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Two-plane network: marr-net (172.21.0.0/16) operational plane and marr-reporting (172.22.0.0/24) observability plane.</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BGP mesh diagram.</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AS65001-AS65002-AS65003 mesh; engineered design break on r1-hamhung and r2-chongjin links to permit fault-injection testing.</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OpenNMS configuration excerpt.</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Beanshell event-script and event filter definitions used during early Sprint 1 work; OpenNMS now runs in observation mode rather than as part of the live triage path (see Section 9.1 and Figure E1).</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Sample Ansible runbook.</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diagnose_link_down.yml: read-only show interface, show ip ospf neighbor, show ip bgp summary, show ip route. The runbook task definitions are the architectural enforcement point for the read-only allowlist (Section 9.3).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Kafka topic listing.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raw.alerts, snmp.traps, syslog.events - confirmed via kafka-topics --list against the marr-kafka broker.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F6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MARR system architecture diagram (Figure E1).</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Embedded in Section 9.1; captures the deployed v4.0 architecture including the new correlator and the renamed minion locations.</w:t>
            </w:r>
          </w:p>
        </w:tc>
      </w:tr>
    </w:tbl>
    <w:p>
      <w:pPr>
        <w:spacing w:after="200" w:before="80" w:line="260"/>
        <w:jc w:val="center"/>
      </w:pPr>
      <w:r>
        <w:rPr>
          <w:rFonts w:ascii="Trebuchet MS" w:cs="Trebuchet MS" w:eastAsia="Trebuchet MS" w:hAnsi="Trebuchet MS"/>
          <w:b/>
          <w:bCs/>
          <w:i/>
          <w:iCs/>
          <w:sz w:val="20"/>
          <w:szCs w:val="20"/>
        </w:rPr>
        <w:t xml:space="preserve">Table 13. Architecture artefact index.</w:t>
      </w:r>
    </w:p>
    <w:p>
      <w:r>
        <w:br w:type="page"/>
      </w:r>
    </w:p>
    <w:p>
      <w:pPr>
        <w:pStyle w:val="Heading1"/>
        <w:spacing w:after="160" w:before="320"/>
      </w:pPr>
      <w:r>
        <w:rPr>
          <w:rFonts w:ascii="Trebuchet MS" w:cs="Trebuchet MS" w:eastAsia="Trebuchet MS" w:hAnsi="Trebuchet MS"/>
          <w:b/>
          <w:bCs/>
          <w:sz w:val="32"/>
          <w:szCs w:val="32"/>
        </w:rPr>
        <w:t xml:space="preserve">Appendix G: Project Management Artefacts</w:t>
      </w:r>
    </w:p>
    <w:p>
      <w:pPr>
        <w:spacing w:after="80" w:before="80" w:line="280"/>
        <w:jc w:val="both"/>
      </w:pPr>
      <w:r>
        <w:rPr>
          <w:rFonts w:ascii="Trebuchet MS" w:cs="Trebuchet MS" w:eastAsia="Trebuchet MS" w:hAnsi="Trebuchet MS"/>
          <w:b w:val="false"/>
          <w:bCs w:val="false"/>
          <w:i w:val="false"/>
          <w:iCs w:val="false"/>
          <w:sz w:val="22"/>
          <w:szCs w:val="22"/>
        </w:rPr>
        <w:t xml:space="preserve">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00"/>
      </w:tblGrid>
      <w:tr>
        <w:tc>
          <w:tcPr>
            <w:tcW w:type="dxa" w:w="7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Ref</w:t>
            </w:r>
          </w:p>
        </w:tc>
        <w:tc>
          <w:tcPr>
            <w:tcW w:type="dxa" w:w="30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Artefact</w:t>
            </w:r>
          </w:p>
        </w:tc>
        <w:tc>
          <w:tcPr>
            <w:tcW w:type="dxa" w:w="5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i w:val="false"/>
                <w:iCs w:val="false"/>
                <w:sz w:val="20"/>
                <w:szCs w:val="20"/>
              </w:rPr>
              <w:t xml:space="preserve">Description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1 retrospective notes.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End-of-Sprint-1 reflection: cold-start playbook stabilisation; minion until-block fix at commit 076ea99.</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2 retrospective notes.</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End-of-Sprint-2 reflection: ingestion path stabilisation; classifier corpus authoring; Diag Status fidelity issue identified for Sprint 3.</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Sprint 3 implementation log.</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Lab Session Log of 3 May 2026 covering minion rename, Diag Status fix, correlator implementation including in-session race-condition and dotenv fixes, and post-crash recovery.</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Chronological lab steps document.</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My_Lab_Steps_May_2026.docx: step-by-step record of every operational action taken in the 3 May session, structured for direct reproduction by a future operator.</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G5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Dual-remote git history.</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i w:val="false"/>
                <w:iCs w:val="false"/>
                <w:sz w:val="20"/>
                <w:szCs w:val="20"/>
              </w:rPr>
              <w:t xml:space="preserve">All work pushed to both KariocaMarron/com617-AutomatedNetworkTroubleshooting-1 (origin) and com617-industrial-2025-1/com617-AutomatedNetworkTroubleshooting-1 (upstream) at every significant milestone.</w:t>
            </w:r>
          </w:p>
        </w:tc>
      </w:tr>
    </w:tbl>
    <w:p>
      <w:pPr>
        <w:spacing w:after="200" w:before="80" w:line="260"/>
        <w:jc w:val="center"/>
      </w:pPr>
      <w:r>
        <w:rPr>
          <w:rFonts w:ascii="Trebuchet MS" w:cs="Trebuchet MS" w:eastAsia="Trebuchet MS" w:hAnsi="Trebuchet MS"/>
          <w:b/>
          <w:bCs/>
          <w:i/>
          <w:iCs/>
          <w:sz w:val="20"/>
          <w:szCs w:val="20"/>
        </w:rPr>
        <w:t xml:space="preserve">Table 14. Project management artefact index.</w:t>
      </w:r>
    </w:p>
    <w:p>
      <w:r>
        <w:br w:type="page"/>
      </w:r>
    </w:p>
    <w:p>
      <w:pPr>
        <w:pStyle w:val="Heading1"/>
        <w:spacing w:after="160" w:before="320"/>
      </w:pPr>
      <w:r>
        <w:rPr>
          <w:rFonts w:ascii="Trebuchet MS" w:cs="Trebuchet MS" w:eastAsia="Trebuchet MS" w:hAnsi="Trebuchet MS"/>
          <w:b/>
          <w:bCs/>
          <w:sz w:val="32"/>
          <w:szCs w:val="32"/>
        </w:rPr>
        <w:t xml:space="preserve">Appendix H: Governance and Compliance</w:t>
      </w:r>
    </w:p>
    <w:p>
      <w:pPr>
        <w:spacing w:after="80" w:before="80" w:line="280"/>
        <w:jc w:val="both"/>
      </w:pPr>
      <w:r>
        <w:rPr>
          <w:rFonts w:ascii="Trebuchet MS" w:cs="Trebuchet MS" w:eastAsia="Trebuchet MS" w:hAnsi="Trebuchet MS"/>
          <w:b w:val="false"/>
          <w:bCs w:val="false"/>
          <w:i w:val="false"/>
          <w:iCs w:val="false"/>
          <w:sz w:val="22"/>
          <w:szCs w:val="22"/>
        </w:rPr>
        <w:t xml:space="preserve">This appendix records the governance and professional-conduct framing of the project.</w:t>
      </w:r>
    </w:p>
    <w:p>
      <w:pPr>
        <w:pStyle w:val="Heading2"/>
        <w:spacing w:after="120" w:before="240"/>
      </w:pPr>
      <w:r>
        <w:rPr>
          <w:rFonts w:ascii="Trebuchet MS" w:cs="Trebuchet MS" w:eastAsia="Trebuchet MS" w:hAnsi="Trebuchet MS"/>
          <w:b/>
          <w:bCs/>
          <w:sz w:val="28"/>
          <w:szCs w:val="28"/>
        </w:rPr>
        <w:t xml:space="preserve">H.1 BCS Code of Conduct alignment</w:t>
      </w:r>
    </w:p>
    <w:p>
      <w:pPr>
        <w:spacing w:after="80" w:before="80" w:line="280"/>
        <w:jc w:val="both"/>
      </w:pPr>
      <w:r>
        <w:rPr>
          <w:rFonts w:ascii="Trebuchet MS" w:cs="Trebuchet MS" w:eastAsia="Trebuchet MS" w:hAnsi="Trebuchet MS"/>
          <w:b w:val="false"/>
          <w:bCs w:val="false"/>
          <w:i w:val="false"/>
          <w:iCs w:val="false"/>
          <w:sz w:val="22"/>
          <w:szCs w:val="22"/>
        </w:rPr>
        <w:t xml:space="preserve">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pPr>
        <w:pStyle w:val="Heading2"/>
        <w:spacing w:after="120" w:before="240"/>
      </w:pPr>
      <w:r>
        <w:rPr>
          <w:rFonts w:ascii="Trebuchet MS" w:cs="Trebuchet MS" w:eastAsia="Trebuchet MS" w:hAnsi="Trebuchet MS"/>
          <w:b/>
          <w:bCs/>
          <w:sz w:val="28"/>
          <w:szCs w:val="28"/>
        </w:rPr>
        <w:t xml:space="preserve">H.2 IET Rules of Conduct alignment</w:t>
      </w:r>
    </w:p>
    <w:p>
      <w:pPr>
        <w:spacing w:after="80" w:before="80" w:line="280"/>
        <w:jc w:val="both"/>
      </w:pPr>
      <w:r>
        <w:rPr>
          <w:rFonts w:ascii="Trebuchet MS" w:cs="Trebuchet MS" w:eastAsia="Trebuchet MS" w:hAnsi="Trebuchet MS"/>
          <w:b w:val="false"/>
          <w:bCs w:val="false"/>
          <w:i w:val="false"/>
          <w:iCs w:val="false"/>
          <w:sz w:val="22"/>
          <w:szCs w:val="22"/>
        </w:rPr>
        <w:t xml:space="preserve">The IET Rules of Conduct (IET 2023) emphasise professional competence in digital systems. The decision to defer ML-based correlation until labelled production data exists (Section 1; Section 4.2; Section 9.2) is a direct application of the IET principle that practitioners should not deploy capabilities outside their evaluable competence.</w:t>
      </w:r>
    </w:p>
    <w:p>
      <w:pPr>
        <w:pStyle w:val="Heading2"/>
        <w:spacing w:after="120" w:before="240"/>
      </w:pPr>
      <w:r>
        <w:rPr>
          <w:rFonts w:ascii="Trebuchet MS" w:cs="Trebuchet MS" w:eastAsia="Trebuchet MS" w:hAnsi="Trebuchet MS"/>
          <w:b/>
          <w:bCs/>
          <w:sz w:val="28"/>
          <w:szCs w:val="28"/>
        </w:rPr>
        <w:t xml:space="preserve">H.3 Data protection considerations</w:t>
      </w:r>
    </w:p>
    <w:p>
      <w:pPr>
        <w:spacing w:after="80" w:before="80" w:line="280"/>
        <w:jc w:val="both"/>
      </w:pPr>
      <w:r>
        <w:rPr>
          <w:rFonts w:ascii="Trebuchet MS" w:cs="Trebuchet MS" w:eastAsia="Trebuchet MS" w:hAnsi="Trebuchet MS"/>
          <w:b w:val="false"/>
          <w:bCs w:val="false"/>
          <w:i w:val="false"/>
          <w:iCs w:val="false"/>
          <w:sz w:val="22"/>
          <w:szCs w:val="22"/>
        </w:rPr>
        <w:t xml:space="preserve">MARR processes operational telemetry from network devices, not personal data. UK GDPR obligations do not apply to the data flows in scope for the MVP. If the system is extended to ingest user-attributable data (e.g. authentication failure events that include user identifiers) in v1, a Data Protection Impact Assessment is required before deployment.</w:t>
      </w:r>
    </w:p>
    <w:p>
      <w:pPr>
        <w:pStyle w:val="Heading2"/>
        <w:spacing w:after="120" w:before="240"/>
      </w:pPr>
      <w:r>
        <w:rPr>
          <w:rFonts w:ascii="Trebuchet MS" w:cs="Trebuchet MS" w:eastAsia="Trebuchet MS" w:hAnsi="Trebuchet MS"/>
          <w:b/>
          <w:bCs/>
          <w:sz w:val="28"/>
          <w:szCs w:val="28"/>
        </w:rPr>
        <w:t xml:space="preserve">H.4 Repository and licensing</w:t>
      </w:r>
    </w:p>
    <w:p>
      <w:pPr>
        <w:spacing w:after="80" w:before="80" w:line="280"/>
        <w:jc w:val="both"/>
      </w:pPr>
      <w:r>
        <w:rPr>
          <w:rFonts w:ascii="Trebuchet MS" w:cs="Trebuchet MS" w:eastAsia="Trebuchet MS" w:hAnsi="Trebuchet MS"/>
          <w:b w:val="false"/>
          <w:bCs w:val="false"/>
          <w:i w:val="false"/>
          <w:iCs w:val="false"/>
          <w:sz w:val="22"/>
          <w:szCs w:val="22"/>
        </w:rPr>
        <w:t xml:space="preserve">The repository is dual-pushed to KariocaMarron/com617-AutomatedNetworkTroubleshooting-1 and com617-industrial-2025-1/com617-AutomatedNetworkTroubleshooting-1. The university repository is the authoritative submission location. Licensing is internal to the academic project; redistribution is governed by the COM617 module assessment terms.</w:t>
      </w:r>
    </w:p>
    <w:p>
      <w:r>
        <w:br w:type="page"/>
      </w:r>
    </w:p>
    <w:p>
      <w:pPr>
        <w:pStyle w:val="Heading1"/>
        <w:spacing w:after="160" w:before="320"/>
      </w:pPr>
      <w:r>
        <w:rPr>
          <w:rFonts w:ascii="Trebuchet MS" w:cs="Trebuchet MS" w:eastAsia="Trebuchet MS" w:hAnsi="Trebuchet MS"/>
          <w:b/>
          <w:bCs/>
          <w:sz w:val="32"/>
          <w:szCs w:val="32"/>
        </w:rPr>
        <w:t xml:space="preserve">Appendix I: AI Usage Declaration</w:t>
      </w:r>
    </w:p>
    <w:p>
      <w:pPr>
        <w:spacing w:after="80" w:before="80" w:line="280"/>
        <w:jc w:val="both"/>
      </w:pPr>
      <w:r>
        <w:rPr>
          <w:rFonts w:ascii="Trebuchet MS" w:cs="Trebuchet MS" w:eastAsia="Trebuchet MS" w:hAnsi="Trebuchet MS"/>
          <w:b w:val="false"/>
          <w:bCs w:val="false"/>
          <w:i w:val="false"/>
          <w:iCs w:val="false"/>
          <w:sz w:val="22"/>
          <w:szCs w:val="22"/>
        </w:rPr>
        <w:t xml:space="preserve">This appendix records the use of AI tools in producing this Project Initiation Document, in compliance with the COM617 assessment brief and Southampton Solent University's AI and Academic Integrity Policy.</w:t>
      </w:r>
    </w:p>
    <w:p>
      <w:pPr>
        <w:pStyle w:val="Heading2"/>
        <w:spacing w:after="120" w:before="240"/>
      </w:pPr>
      <w:r>
        <w:rPr>
          <w:rFonts w:ascii="Trebuchet MS" w:cs="Trebuchet MS" w:eastAsia="Trebuchet MS" w:hAnsi="Trebuchet MS"/>
          <w:b/>
          <w:bCs/>
          <w:sz w:val="28"/>
          <w:szCs w:val="28"/>
        </w:rPr>
        <w:t xml:space="preserve">I.1 Tools used</w:t>
      </w:r>
    </w:p>
    <w:p>
      <w:pPr>
        <w:spacing w:after="80" w:before="80" w:line="280"/>
        <w:jc w:val="both"/>
      </w:pPr>
      <w:r>
        <w:rPr>
          <w:rFonts w:ascii="Trebuchet MS" w:cs="Trebuchet MS" w:eastAsia="Trebuchet MS" w:hAnsi="Trebuchet MS"/>
          <w:b w:val="false"/>
          <w:bCs w:val="false"/>
          <w:i w:val="false"/>
          <w:iCs w:val="false"/>
          <w:sz w:val="22"/>
          <w:szCs w:val="22"/>
        </w:rPr>
        <w:t xml:space="preserve">Anthropic Claude (a large-language-model assistant) was used during the drafting and editing of this document. No other generative AI tools were used for substantive writing.</w:t>
      </w:r>
    </w:p>
    <w:p>
      <w:pPr>
        <w:pStyle w:val="Heading2"/>
        <w:spacing w:after="120" w:before="240"/>
      </w:pPr>
      <w:r>
        <w:rPr>
          <w:rFonts w:ascii="Trebuchet MS" w:cs="Trebuchet MS" w:eastAsia="Trebuchet MS" w:hAnsi="Trebuchet MS"/>
          <w:b/>
          <w:bCs/>
          <w:sz w:val="28"/>
          <w:szCs w:val="28"/>
        </w:rPr>
        <w:t xml:space="preserve">I.2 Where and how AI was used</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Drafting and structural organisation of prose sections, with subsequent human review and editing of every paragraph by the team.</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Cross-referencing internal consistency between sections (for example, ensuring measurements in Table 7 match the figures cited in the appendices).</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Producing the Figure E1 architecture diagram from a textual specification supplied by the team.</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Producing supporting build scripts that pack the document and embed evidence figures, and trimming an earlier longer draft to comply with the assessment brief's 2000-word limit.</w:t>
      </w:r>
    </w:p>
    <w:p>
      <w:pPr>
        <w:pStyle w:val="Heading2"/>
        <w:spacing w:after="120" w:before="240"/>
      </w:pPr>
      <w:r>
        <w:rPr>
          <w:rFonts w:ascii="Trebuchet MS" w:cs="Trebuchet MS" w:eastAsia="Trebuchet MS" w:hAnsi="Trebuchet MS"/>
          <w:b/>
          <w:bCs/>
          <w:sz w:val="28"/>
          <w:szCs w:val="28"/>
        </w:rPr>
        <w:t xml:space="preserve">I.3 Where AI was not used</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Designing or implementing the MARR system itself. All system architecture, code (Python, Ansible, configuration), and lab work were authored by the team during sprint sessions and recorded in the Lab Session Log.</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Generating evidence. Figures D1, D2, D3, D4, and E4 are real captures from the team's live deployment; none was synthesised by AI. Figure E1 was rendered from a hand-authored architectural specification, not generated as an image by AI.</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Producing academic citations. Every reference in Section 12 was verified against the cited source before inclusion.</w:t>
      </w:r>
    </w:p>
    <w:p>
      <w:pPr>
        <w:spacing w:after="40" w:before="40" w:line="280"/>
        <w:ind w:left="360"/>
        <w:jc w:val="both"/>
      </w:pPr>
      <w:r>
        <w:rPr>
          <w:rFonts w:ascii="Trebuchet MS" w:cs="Trebuchet MS" w:eastAsia="Trebuchet MS" w:hAnsi="Trebuchet MS"/>
          <w:sz w:val="22"/>
          <w:szCs w:val="22"/>
        </w:rPr>
        <w:t xml:space="preserve">- </w:t>
      </w:r>
      <w:r>
        <w:rPr>
          <w:rFonts w:ascii="Trebuchet MS" w:cs="Trebuchet MS" w:eastAsia="Trebuchet MS" w:hAnsi="Trebuchet MS"/>
          <w:sz w:val="22"/>
          <w:szCs w:val="22"/>
        </w:rPr>
        <w:t xml:space="preserve">Replacing the team's research, design decisions, or critical judgement at any point in the project.</w:t>
      </w:r>
    </w:p>
    <w:p>
      <w:pPr>
        <w:pStyle w:val="Heading2"/>
        <w:spacing w:after="120" w:before="240"/>
      </w:pPr>
      <w:r>
        <w:rPr>
          <w:rFonts w:ascii="Trebuchet MS" w:cs="Trebuchet MS" w:eastAsia="Trebuchet MS" w:hAnsi="Trebuchet MS"/>
          <w:b/>
          <w:bCs/>
          <w:sz w:val="28"/>
          <w:szCs w:val="28"/>
        </w:rPr>
        <w:t xml:space="preserve">I.4 Verification and oversight</w:t>
      </w:r>
    </w:p>
    <w:p>
      <w:pPr>
        <w:spacing w:after="80" w:before="80" w:line="280"/>
        <w:jc w:val="both"/>
      </w:pPr>
      <w:r>
        <w:rPr>
          <w:rFonts w:ascii="Trebuchet MS" w:cs="Trebuchet MS" w:eastAsia="Trebuchet MS" w:hAnsi="Trebuchet MS"/>
          <w:b w:val="false"/>
          <w:bCs w:val="false"/>
          <w:i w:val="false"/>
          <w:iCs w:val="false"/>
          <w:sz w:val="22"/>
          <w:szCs w:val="22"/>
        </w:rPr>
        <w:t xml:space="preserve">Every AI-assisted draft was reviewed and edited by team members before inclusion. Factual claims about the implementation, measurements, and architectural decisions were verified against the team's primary records (the Lab Session Log, repository commit history, and direct testing). The team retains full responsibility for the content of this document.</w:t>
      </w:r>
    </w:p>
    <w:p>
      <w:pPr>
        <w:pStyle w:val="Heading2"/>
        <w:spacing w:after="120" w:before="240"/>
      </w:pPr>
      <w:r>
        <w:rPr>
          <w:rFonts w:ascii="Trebuchet MS" w:cs="Trebuchet MS" w:eastAsia="Trebuchet MS" w:hAnsi="Trebuchet MS"/>
          <w:b/>
          <w:bCs/>
          <w:sz w:val="28"/>
          <w:szCs w:val="28"/>
        </w:rPr>
        <w:t xml:space="preserve">I.5 Compliance statement</w:t>
      </w:r>
    </w:p>
    <w:p>
      <w:pPr>
        <w:spacing w:after="80" w:before="80" w:line="280"/>
        <w:jc w:val="both"/>
      </w:pPr>
      <w:r>
        <w:rPr>
          <w:rFonts w:ascii="Trebuchet MS" w:cs="Trebuchet MS" w:eastAsia="Trebuchet MS" w:hAnsi="Trebuchet MS"/>
          <w:b w:val="false"/>
          <w:bCs w:val="false"/>
          <w:i w:val="false"/>
          <w:iCs w:val="false"/>
          <w:sz w:val="22"/>
          <w:szCs w:val="22"/>
        </w:rPr>
        <w:t xml:space="preserve">This use complies with Southampton Solent University's AI and Academic Integrity Policy: AI was used as an assistant for readability, organisation, and document production, not as a replacement for the team's own research, design decisions, or critical thinking. Where AI suggestions were incorporated, the team verified the underlying claims before inclusion. Failure to attribute AI usage is recognised as academic misconduct; this appendix is the team's good-faith attribution.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666666"/>
        <w:sz w:val="18"/>
        <w:szCs w:val="18"/>
      </w:rPr>
      <w:t xml:space="preserve">Page </w:t>
    </w:r>
    <w:fldSimple w:instr="PAGE"/>
    <w:r>
      <w:rPr>
        <w:rFonts w:ascii="Trebuchet MS" w:cs="Trebuchet MS" w:eastAsia="Trebuchet MS" w:hAnsi="Trebuchet MS"/>
        <w:color w:val="666666"/>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666666"/>
        <w:sz w:val="18"/>
        <w:szCs w:val="18"/>
      </w:rPr>
      <w:t xml:space="preserve">COM617 Group 15 - PID AE1 - v10 (Final, brief-compliant)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000000"/>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000000"/>
      <w:sz w:val="28"/>
      <w:szCs w:val="28"/>
    </w:rPr>
  </w:style>
  <w:style w:type="paragraph" w:styleId="Heading3">
    <w:name w:val="Heading 3"/>
    <w:basedOn w:val="Normal"/>
    <w:next w:val="Normal"/>
    <w:qFormat/>
    <w:pPr>
      <w:spacing w:after="100" w:before="200"/>
      <w:outlineLvl w:val="2"/>
    </w:pPr>
    <w:rPr>
      <w:rFonts w:ascii="Trebuchet MS" w:cs="Trebuchet MS" w:eastAsia="Trebuchet MS" w:hAnsi="Trebuchet M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3fdc7e99f0343e18601808a32cf57b0aecc4f5.png"/><Relationship Id="rId10" Type="http://schemas.openxmlformats.org/officeDocument/2006/relationships/image" Target="media/827d672f9577c24c57a201499b8e7a1785c12fbb.png"/><Relationship Id="rId11" Type="http://schemas.openxmlformats.org/officeDocument/2006/relationships/image" Target="media/db7f8fc980e07011b15bbe90a5fdc698d3adac9e.png"/><Relationship Id="rId12" Type="http://schemas.openxmlformats.org/officeDocument/2006/relationships/image" Target="media/aeec70a864461bf7dff6b558ccfd885bf304ccac.png"/><Relationship Id="rId13" Type="http://schemas.openxmlformats.org/officeDocument/2006/relationships/image" Target="media/63d3ceec5a7798467b106e9c15febdee7eb714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COM617 Group 15 PID AE1 v10</dc:title>
  <dc:creator>COM617 Group 15</dc:creator>
  <cp:lastModifiedBy>Un-named</cp:lastModifiedBy>
  <cp:revision>1</cp:revision>
  <dcterms:created xsi:type="dcterms:W3CDTF">2026-05-04T03:33:58.104Z</dcterms:created>
  <dcterms:modified xsi:type="dcterms:W3CDTF">2026-05-04T03:33:58.104Z</dcterms:modified>
</cp:coreProperties>
</file>

<file path=docProps/custom.xml><?xml version="1.0" encoding="utf-8"?>
<Properties xmlns="http://schemas.openxmlformats.org/officeDocument/2006/custom-properties" xmlns:vt="http://schemas.openxmlformats.org/officeDocument/2006/docPropsVTypes"/>
</file>