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ncswhep8bte" w:id="0"/>
      <w:bookmarkEnd w:id="0"/>
      <w:r w:rsidDel="00000000" w:rsidR="00000000" w:rsidRPr="00000000">
        <w:rPr>
          <w:b w:val="1"/>
          <w:color w:val="000000"/>
          <w:sz w:val="26"/>
          <w:szCs w:val="26"/>
          <w:rtl w:val="0"/>
        </w:rPr>
        <w:t xml:space="preserve">3. Data Collection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Updated Data Sources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Historical Stock Prices: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Dataset Name:</w:t>
      </w:r>
      <w:r w:rsidDel="00000000" w:rsidR="00000000" w:rsidRPr="00000000">
        <w:rPr>
          <w:rtl w:val="0"/>
        </w:rPr>
        <w:t xml:space="preserve"> AMZN Historical Stock Prices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Amazon Inc. (AMZN) from 2010 onwards, including open, high, low, close, and volume. Additionally, it includes various technical indicators such as moving averages and Bollinger Bands, and market indices data such as S&amp;P 500 and DJIA closing prices.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FB Historical Stock Prices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Facebook Inc. (FB) from 2015 onwards, including open, high, low, close, and volume. Additionally, it includes various technical indicators such as moving averages and Bollinger Bands, and market indices data such as S&amp;P 500 and DJIA closing prices.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AAPL Historical Stock Prices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Apple Inc. (AAPL) from 2005 onwards, including open, high, low, close, and volume. Additionally, it includes various technical indicators such as moving averages and Bollinger Bands, and market indices data such as S&amp;P 500 and DJIA closing prices.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GE Historical Stock Prices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General Electric Co. (GE) from 2000 onwards, including open, high, low, close, and volume. Additionally, it includes various technical indicators such as moving averages and Bollinger Bands, and market indices data such as S&amp;P 500 and DJIA closing prices.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GOOGL Historical Stock Prices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Alphabet Inc. (GOOGL) from 2007 onwards, including open, high, low, close, and volume. Additionally, it includes various technical indicators such as moving averages and Bollinger Bands, and market indices data such as S&amp;P 500 and DJIA closing prices.</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GS Historical Stock Prices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Goldman Sachs Group Inc. (GS) from 2005 onwards, including open, high, low, close, and volume. Additionally, it includes various technical indicators such as moving averages and Bollinger Bands, and market indices data such as S&amp;P 500 and DJIA closing prices.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IBM Historical Stock Prices</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IBM from 2000 onwards, including open, high, low, close, and volume. Additionally, it includes various technical indicators and market indices data such as S&amp;P 500 and DJIA closing prices.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JPM Historical Stock Prices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JPMorgan Chase &amp; Co. (JPM) from 2000 onwards, including open, high, low, close, and volume. Additionally, it includes various technical indicators and market indices data such as S&amp;P 500 and DJIA closing prices.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MSFT Historical Stock Prices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Contains daily historical stock data for Microsoft Corporation (MSFT) from 2000 onwards, including open, high, low, close, and volume. Additionally, it includes various technical indicators and market indices data such as S&amp;P 500 and DJIA closing prices.</w:t>
      </w:r>
    </w:p>
    <w:p w:rsidR="00000000" w:rsidDel="00000000" w:rsidP="00000000" w:rsidRDefault="00000000" w:rsidRPr="00000000" w14:paraId="0000001F">
      <w:pPr>
        <w:spacing w:after="240" w:before="240" w:lineRule="auto"/>
        <w:ind w:left="0" w:firstLine="0"/>
        <w:rPr>
          <w:b w:val="1"/>
        </w:rPr>
      </w:pPr>
      <w:r w:rsidDel="00000000" w:rsidR="00000000" w:rsidRPr="00000000">
        <w:rPr>
          <w:b w:val="1"/>
          <w:rtl w:val="0"/>
        </w:rPr>
        <w:t xml:space="preserve">Technical Indicators: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Dataset Name:</w:t>
      </w:r>
      <w:r w:rsidDel="00000000" w:rsidR="00000000" w:rsidRPr="00000000">
        <w:rPr>
          <w:rtl w:val="0"/>
        </w:rPr>
        <w:t xml:space="preserve"> AMZN Technical Indicators</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Amazon Inc. (AMZN). These indicators are essential for feature engineering and enhancing the prediction model's input.</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FB Technical Indicators</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Facebook Inc. (FB). These indicators are essential for feature engineering and enhancing the prediction model's input.</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AAPL Technical Indicators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Apple Inc. (AAPL). These indicators are essential for feature engineering and enhancing the prediction model's input.</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GE Technical Indicators</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General Electric Co. (GE). These indicators are essential for feature engineering and enhancing the prediction model's input.</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GOOGL Technical Indicators</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Alphabet Inc. (GOOGL). These indicators are essential for feature engineering and enhancing the prediction model's input.</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GS Technical Indicators</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Goldman Sachs Group Inc. (GS). These indicators are essential for feature engineering and enhancing the prediction model's input.</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IBM Technical Indicators</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IBM. These indicators are essential for feature engineering and enhancing the prediction model's input.</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JPM Technical Indicators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JPMorgan Chase &amp; Co. (JPM). These indicators are essential for feature engineering and enhancing the prediction model's input.</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MSFT Technical Indicators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This dataset provides calculated technical indicators like standard deviation (SD20), upper and lower Bollinger Bands, and moving averages (QQQ_MA10, QQQ_MA20, QQQ_MA50) for Microsoft Corporation (MSFT). These indicators are essential for feature engineering and enhancing the prediction model's input.</w:t>
      </w:r>
    </w:p>
    <w:p w:rsidR="00000000" w:rsidDel="00000000" w:rsidP="00000000" w:rsidRDefault="00000000" w:rsidRPr="00000000" w14:paraId="0000003B">
      <w:pPr>
        <w:spacing w:after="240" w:before="240" w:lineRule="auto"/>
        <w:ind w:left="0" w:firstLine="0"/>
        <w:rPr>
          <w:b w:val="1"/>
        </w:rPr>
      </w:pPr>
      <w:r w:rsidDel="00000000" w:rsidR="00000000" w:rsidRPr="00000000">
        <w:rPr>
          <w:b w:val="1"/>
          <w:rtl w:val="0"/>
        </w:rPr>
        <w:t xml:space="preserve">Market Indices and Other Financial Data:</w:t>
      </w:r>
    </w:p>
    <w:p w:rsidR="00000000" w:rsidDel="00000000" w:rsidP="00000000" w:rsidRDefault="00000000" w:rsidRPr="00000000" w14:paraId="0000003C">
      <w:pPr>
        <w:numPr>
          <w:ilvl w:val="0"/>
          <w:numId w:val="10"/>
        </w:numPr>
        <w:spacing w:after="0" w:afterAutospacing="0" w:before="240" w:lineRule="auto"/>
        <w:ind w:left="720" w:hanging="360"/>
      </w:pPr>
      <w:r w:rsidDel="00000000" w:rsidR="00000000" w:rsidRPr="00000000">
        <w:rPr>
          <w:b w:val="1"/>
          <w:rtl w:val="0"/>
        </w:rPr>
        <w:t xml:space="preserve">Dataset Name:</w:t>
      </w:r>
      <w:r w:rsidDel="00000000" w:rsidR="00000000" w:rsidRPr="00000000">
        <w:rPr>
          <w:rtl w:val="0"/>
        </w:rPr>
        <w:t xml:space="preserve"> AMZN Market Indices Data</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AMZN's stock price.</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FB Market Indices Data</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FB's stock price.</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AAPL Market Indices Data</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AAPL's stock price.</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GE Market Indices Data</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GE's stock price.</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GOOGL Market Indices Data</w:t>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4A">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GOOGL's stock price.</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GS Market Indices Data</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GS's stock price.</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IBM Market Indices Data</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IBM's stock price.</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JPM Market Indices Data</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JPM's stock price.</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Dataset Name:</w:t>
      </w:r>
      <w:r w:rsidDel="00000000" w:rsidR="00000000" w:rsidRPr="00000000">
        <w:rPr>
          <w:rtl w:val="0"/>
        </w:rPr>
        <w:t xml:space="preserve"> MSFT Market Indices Data</w:t>
      </w:r>
    </w:p>
    <w:p w:rsidR="00000000" w:rsidDel="00000000" w:rsidP="00000000" w:rsidRDefault="00000000" w:rsidRPr="00000000" w14:paraId="00000055">
      <w:pPr>
        <w:numPr>
          <w:ilvl w:val="0"/>
          <w:numId w:val="6"/>
        </w:numPr>
        <w:spacing w:after="0" w:afterAutospacing="0" w:before="0" w:beforeAutospacing="0" w:lineRule="auto"/>
        <w:ind w:left="720" w:hanging="360"/>
      </w:pPr>
      <w:r w:rsidDel="00000000" w:rsidR="00000000" w:rsidRPr="00000000">
        <w:rPr>
          <w:b w:val="1"/>
          <w:rtl w:val="0"/>
        </w:rPr>
        <w:t xml:space="preserve">Source:</w:t>
      </w:r>
      <w:r w:rsidDel="00000000" w:rsidR="00000000" w:rsidRPr="00000000">
        <w:rPr>
          <w:rtl w:val="0"/>
        </w:rPr>
        <w:t xml:space="preserve"> Internal Dataset (Uploaded CSV)</w:t>
      </w:r>
    </w:p>
    <w:p w:rsidR="00000000" w:rsidDel="00000000" w:rsidP="00000000" w:rsidRDefault="00000000" w:rsidRPr="00000000" w14:paraId="00000056">
      <w:pPr>
        <w:numPr>
          <w:ilvl w:val="0"/>
          <w:numId w:val="6"/>
        </w:numPr>
        <w:spacing w:after="24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Includes closing prices for major market indices such as S&amp;P 500 (SnP_Close) and DJIA (DJIA_Close). This additional data helps in understanding the broader market trends and their impact on MSFT's stock price.</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spacing w:after="240" w:before="240" w:lineRule="auto"/>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