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9DD1" w14:textId="77777777" w:rsidR="004B229F" w:rsidRDefault="00000000">
      <w:pPr>
        <w:spacing w:after="100"/>
        <w:jc w:val="center"/>
      </w:pPr>
      <w:r>
        <w:rPr>
          <w:b/>
          <w:bCs/>
          <w:color w:val="1F4E79"/>
          <w:sz w:val="32"/>
          <w:szCs w:val="32"/>
        </w:rPr>
        <w:t>SIMATS ENGINEERING</w:t>
      </w:r>
    </w:p>
    <w:p w14:paraId="1A460E08" w14:textId="77777777" w:rsidR="004B229F" w:rsidRDefault="00000000">
      <w:pPr>
        <w:spacing w:after="200"/>
        <w:jc w:val="center"/>
      </w:pPr>
      <w:r>
        <w:rPr>
          <w:b/>
          <w:bCs/>
          <w:sz w:val="24"/>
          <w:szCs w:val="24"/>
        </w:rPr>
        <w:t>ASSESSMENT TOOL II – REVERSE ENGINEERING TASK (MEDIUM)</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3060"/>
        <w:gridCol w:w="3060"/>
      </w:tblGrid>
      <w:tr w:rsidR="004B229F" w14:paraId="4A8D4CF1" w14:textId="77777777">
        <w:tblPrEx>
          <w:tblCellMar>
            <w:top w:w="0" w:type="dxa"/>
            <w:bottom w:w="0" w:type="dxa"/>
          </w:tblCellMar>
        </w:tblPrEx>
        <w:tc>
          <w:tcPr>
            <w:tcW w:w="4080" w:type="dxa"/>
            <w:tcMar>
              <w:top w:w="80" w:type="dxa"/>
              <w:left w:w="100" w:type="dxa"/>
              <w:bottom w:w="80" w:type="dxa"/>
              <w:right w:w="100" w:type="dxa"/>
            </w:tcMar>
            <w:vAlign w:val="center"/>
          </w:tcPr>
          <w:p w14:paraId="0C94F7BD" w14:textId="77777777" w:rsidR="004B229F" w:rsidRDefault="00000000">
            <w:r>
              <w:rPr>
                <w:b/>
                <w:bCs/>
                <w:sz w:val="21"/>
                <w:szCs w:val="21"/>
              </w:rPr>
              <w:t>Course Name: Ethical Hacking for Secure Networks</w:t>
            </w:r>
          </w:p>
        </w:tc>
        <w:tc>
          <w:tcPr>
            <w:tcW w:w="3060" w:type="dxa"/>
            <w:tcMar>
              <w:top w:w="80" w:type="dxa"/>
              <w:left w:w="100" w:type="dxa"/>
              <w:bottom w:w="80" w:type="dxa"/>
              <w:right w:w="100" w:type="dxa"/>
            </w:tcMar>
            <w:vAlign w:val="center"/>
          </w:tcPr>
          <w:p w14:paraId="49F0D54B" w14:textId="77777777" w:rsidR="004B229F" w:rsidRDefault="00000000">
            <w:r>
              <w:rPr>
                <w:b/>
                <w:bCs/>
                <w:sz w:val="21"/>
                <w:szCs w:val="21"/>
              </w:rPr>
              <w:t>Code: ITA1436</w:t>
            </w:r>
          </w:p>
        </w:tc>
        <w:tc>
          <w:tcPr>
            <w:tcW w:w="3060" w:type="dxa"/>
            <w:tcMar>
              <w:top w:w="80" w:type="dxa"/>
              <w:left w:w="100" w:type="dxa"/>
              <w:bottom w:w="80" w:type="dxa"/>
              <w:right w:w="100" w:type="dxa"/>
            </w:tcMar>
            <w:vAlign w:val="center"/>
          </w:tcPr>
          <w:p w14:paraId="37336A99" w14:textId="77777777" w:rsidR="004B229F" w:rsidRDefault="00000000">
            <w:r>
              <w:rPr>
                <w:b/>
                <w:bCs/>
                <w:sz w:val="21"/>
                <w:szCs w:val="21"/>
              </w:rPr>
              <w:t>CO: CO2</w:t>
            </w:r>
          </w:p>
        </w:tc>
      </w:tr>
      <w:tr w:rsidR="004B229F" w14:paraId="113F3E37" w14:textId="77777777">
        <w:tblPrEx>
          <w:tblCellMar>
            <w:top w:w="0" w:type="dxa"/>
            <w:bottom w:w="0" w:type="dxa"/>
          </w:tblCellMar>
        </w:tblPrEx>
        <w:tc>
          <w:tcPr>
            <w:tcW w:w="4080" w:type="dxa"/>
            <w:tcMar>
              <w:top w:w="80" w:type="dxa"/>
              <w:left w:w="100" w:type="dxa"/>
              <w:bottom w:w="80" w:type="dxa"/>
              <w:right w:w="100" w:type="dxa"/>
            </w:tcMar>
            <w:vAlign w:val="center"/>
          </w:tcPr>
          <w:p w14:paraId="29CD9FD4" w14:textId="77777777" w:rsidR="004B229F" w:rsidRDefault="00000000">
            <w:r>
              <w:rPr>
                <w:sz w:val="21"/>
                <w:szCs w:val="21"/>
              </w:rPr>
              <w:t>Duration: 90 min   Date:</w:t>
            </w:r>
          </w:p>
        </w:tc>
        <w:tc>
          <w:tcPr>
            <w:tcW w:w="3060" w:type="dxa"/>
            <w:tcMar>
              <w:top w:w="80" w:type="dxa"/>
              <w:left w:w="100" w:type="dxa"/>
              <w:bottom w:w="80" w:type="dxa"/>
              <w:right w:w="100" w:type="dxa"/>
            </w:tcMar>
            <w:vAlign w:val="center"/>
          </w:tcPr>
          <w:p w14:paraId="50795F88" w14:textId="77777777" w:rsidR="004B229F" w:rsidRDefault="00000000">
            <w:r>
              <w:rPr>
                <w:sz w:val="21"/>
                <w:szCs w:val="21"/>
              </w:rPr>
              <w:t>Total Marks:</w:t>
            </w:r>
          </w:p>
        </w:tc>
        <w:tc>
          <w:tcPr>
            <w:tcW w:w="3060" w:type="dxa"/>
            <w:tcMar>
              <w:top w:w="80" w:type="dxa"/>
              <w:left w:w="100" w:type="dxa"/>
              <w:bottom w:w="80" w:type="dxa"/>
              <w:right w:w="100" w:type="dxa"/>
            </w:tcMar>
            <w:vAlign w:val="center"/>
          </w:tcPr>
          <w:p w14:paraId="77018999" w14:textId="77777777" w:rsidR="004B229F" w:rsidRDefault="00000000">
            <w:pPr>
              <w:rPr>
                <w:sz w:val="21"/>
                <w:szCs w:val="21"/>
              </w:rPr>
            </w:pPr>
            <w:r>
              <w:rPr>
                <w:sz w:val="21"/>
                <w:szCs w:val="21"/>
              </w:rPr>
              <w:t>Reg. No / Name:</w:t>
            </w:r>
          </w:p>
          <w:p w14:paraId="5B52C43D" w14:textId="0FE68A2B" w:rsidR="00C10B5F" w:rsidRDefault="00C10B5F">
            <w:proofErr w:type="spellStart"/>
            <w:r>
              <w:t>k.sai</w:t>
            </w:r>
            <w:proofErr w:type="spellEnd"/>
            <w:r>
              <w:t xml:space="preserve"> </w:t>
            </w:r>
            <w:proofErr w:type="spellStart"/>
            <w:proofErr w:type="gramStart"/>
            <w:r>
              <w:t>kumar</w:t>
            </w:r>
            <w:proofErr w:type="spellEnd"/>
            <w:r>
              <w:t>(</w:t>
            </w:r>
            <w:proofErr w:type="gramEnd"/>
            <w:r>
              <w:t>192372080)</w:t>
            </w:r>
          </w:p>
        </w:tc>
      </w:tr>
    </w:tbl>
    <w:p w14:paraId="42428698" w14:textId="77777777" w:rsidR="004B229F" w:rsidRDefault="00000000">
      <w:pPr>
        <w:spacing w:before="200" w:after="100"/>
      </w:pPr>
      <w:r>
        <w:rPr>
          <w:b/>
          <w:bCs/>
          <w:i/>
          <w:iCs/>
          <w:sz w:val="22"/>
          <w:szCs w:val="22"/>
        </w:rPr>
        <w:t xml:space="preserve">CO2: </w:t>
      </w:r>
      <w:r>
        <w:rPr>
          <w:i/>
          <w:iCs/>
          <w:sz w:val="22"/>
          <w:szCs w:val="22"/>
        </w:rPr>
        <w:t xml:space="preserve">Execute </w:t>
      </w:r>
      <w:proofErr w:type="spellStart"/>
      <w:r>
        <w:rPr>
          <w:i/>
          <w:iCs/>
          <w:sz w:val="22"/>
          <w:szCs w:val="22"/>
        </w:rPr>
        <w:t>footprinting</w:t>
      </w:r>
      <w:proofErr w:type="spellEnd"/>
      <w:r>
        <w:rPr>
          <w:i/>
          <w:iCs/>
          <w:sz w:val="22"/>
          <w:szCs w:val="22"/>
        </w:rPr>
        <w:t xml:space="preserve"> in social engineering such as DNS analysis, competitive intelligence gathering, and attack simulations to collect relevant information for identifying potential security risks. (BL3)</w:t>
      </w:r>
    </w:p>
    <w:p w14:paraId="0D323B0E" w14:textId="77777777" w:rsidR="004B229F" w:rsidRDefault="00000000">
      <w:pPr>
        <w:spacing w:after="60"/>
      </w:pPr>
      <w:r>
        <w:rPr>
          <w:b/>
          <w:bCs/>
          <w:i/>
          <w:iCs/>
          <w:sz w:val="22"/>
          <w:szCs w:val="22"/>
        </w:rPr>
        <w:t>Assessment Tool Weightage: 30%</w:t>
      </w:r>
    </w:p>
    <w:p w14:paraId="5B1046A6" w14:textId="77777777" w:rsidR="004B229F" w:rsidRDefault="00000000">
      <w:pPr>
        <w:spacing w:after="200"/>
      </w:pPr>
      <w:r>
        <w:rPr>
          <w:b/>
          <w:bCs/>
          <w:i/>
          <w:iCs/>
          <w:sz w:val="22"/>
          <w:szCs w:val="22"/>
        </w:rPr>
        <w:t xml:space="preserve">Instructions: </w:t>
      </w:r>
      <w:r>
        <w:rPr>
          <w:i/>
          <w:iCs/>
          <w:sz w:val="22"/>
          <w:szCs w:val="22"/>
        </w:rPr>
        <w:t>Answer all questions. Each question carries 10 marks.</w:t>
      </w:r>
    </w:p>
    <w:p w14:paraId="1A7341D9" w14:textId="77777777" w:rsidR="004B229F" w:rsidRDefault="00000000">
      <w:pPr>
        <w:spacing w:after="150"/>
      </w:pPr>
      <w:r>
        <w:rPr>
          <w:b/>
          <w:bCs/>
          <w:i/>
          <w:iCs/>
          <w:color w:val="808080"/>
        </w:rPr>
        <w:t xml:space="preserve">Note: </w:t>
      </w:r>
      <w:r>
        <w:rPr>
          <w:i/>
          <w:iCs/>
          <w:color w:val="808080"/>
        </w:rPr>
        <w:t>All executables described below are hypothetical / illustrative for this assessment. Answers describe the conceptual reverse-engineering approach, typical indicators, and defensive analysis — not actual malicious tooling.</w:t>
      </w:r>
    </w:p>
    <w:p w14:paraId="52B1D8C1" w14:textId="77777777" w:rsidR="004B229F" w:rsidRDefault="00000000">
      <w:pPr>
        <w:shd w:val="clear" w:color="auto" w:fill="D9E2F3"/>
        <w:spacing w:before="300" w:after="100"/>
      </w:pPr>
      <w:r>
        <w:rPr>
          <w:b/>
          <w:bCs/>
          <w:color w:val="1F3864"/>
          <w:sz w:val="24"/>
          <w:szCs w:val="24"/>
        </w:rPr>
        <w:t>Task 1</w:t>
      </w:r>
    </w:p>
    <w:p w14:paraId="0BD5436D" w14:textId="77777777" w:rsidR="004B229F" w:rsidRDefault="00000000">
      <w:pPr>
        <w:spacing w:after="200"/>
      </w:pPr>
      <w:r>
        <w:rPr>
          <w:i/>
          <w:iCs/>
          <w:sz w:val="22"/>
          <w:szCs w:val="22"/>
        </w:rPr>
        <w:t xml:space="preserve">A cybersecurity team discovers a suspicious executable named FootPrintX.exe on a penetration tester's workstation. The application appears to collect information about target organizations, including domain names, IP addresses, and network details. The source code is unavailable, and the analyst must reverse engineer the binary to understand its functionality. Your task is to identify how the tool performs </w:t>
      </w:r>
      <w:proofErr w:type="spellStart"/>
      <w:r>
        <w:rPr>
          <w:i/>
          <w:iCs/>
          <w:sz w:val="22"/>
          <w:szCs w:val="22"/>
        </w:rPr>
        <w:t>footprinting</w:t>
      </w:r>
      <w:proofErr w:type="spellEnd"/>
      <w:r>
        <w:rPr>
          <w:i/>
          <w:iCs/>
          <w:sz w:val="22"/>
          <w:szCs w:val="22"/>
        </w:rPr>
        <w:t xml:space="preserve"> activities.</w:t>
      </w:r>
    </w:p>
    <w:p w14:paraId="0F8861E0" w14:textId="77777777" w:rsidR="004B229F" w:rsidRDefault="00000000">
      <w:pPr>
        <w:spacing w:before="200" w:after="80"/>
      </w:pPr>
      <w:r>
        <w:rPr>
          <w:b/>
          <w:bCs/>
          <w:color w:val="C00000"/>
          <w:sz w:val="23"/>
          <w:szCs w:val="23"/>
        </w:rPr>
        <w:t>Q1. Which functions or modules are responsible for gathering target information?</w:t>
      </w:r>
    </w:p>
    <w:p w14:paraId="7E1F8778" w14:textId="77777777" w:rsidR="004B229F" w:rsidRDefault="00000000">
      <w:pPr>
        <w:spacing w:after="60"/>
      </w:pPr>
      <w:r>
        <w:rPr>
          <w:b/>
          <w:bCs/>
          <w:color w:val="375623"/>
          <w:sz w:val="22"/>
          <w:szCs w:val="22"/>
          <w:u w:val="single"/>
        </w:rPr>
        <w:t>Answer:</w:t>
      </w:r>
    </w:p>
    <w:p w14:paraId="1A9CF02C" w14:textId="77777777" w:rsidR="004B229F" w:rsidRDefault="00000000">
      <w:pPr>
        <w:spacing w:after="100"/>
        <w:ind w:left="200"/>
      </w:pPr>
      <w:r>
        <w:rPr>
          <w:sz w:val="22"/>
          <w:szCs w:val="22"/>
        </w:rPr>
        <w:t xml:space="preserve">During static and dynamic analysis (using tools such as IDA Pro, </w:t>
      </w:r>
      <w:proofErr w:type="spellStart"/>
      <w:r>
        <w:rPr>
          <w:sz w:val="22"/>
          <w:szCs w:val="22"/>
        </w:rPr>
        <w:t>Ghidra</w:t>
      </w:r>
      <w:proofErr w:type="spellEnd"/>
      <w:r>
        <w:rPr>
          <w:sz w:val="22"/>
          <w:szCs w:val="22"/>
        </w:rPr>
        <w:t xml:space="preserve">, or x64dbg), the analyst would look for functions that handle network resolution and data-collection logic. In a </w:t>
      </w:r>
      <w:proofErr w:type="spellStart"/>
      <w:r>
        <w:rPr>
          <w:sz w:val="22"/>
          <w:szCs w:val="22"/>
        </w:rPr>
        <w:t>footprinting</w:t>
      </w:r>
      <w:proofErr w:type="spellEnd"/>
      <w:r>
        <w:rPr>
          <w:sz w:val="22"/>
          <w:szCs w:val="22"/>
        </w:rPr>
        <w:t xml:space="preserve"> tool like FootPrintX.exe, the responsible modules are typically:</w:t>
      </w:r>
    </w:p>
    <w:p w14:paraId="11B678EA" w14:textId="77777777" w:rsidR="004B229F" w:rsidRDefault="00000000">
      <w:pPr>
        <w:pStyle w:val="ListParagraph"/>
        <w:numPr>
          <w:ilvl w:val="0"/>
          <w:numId w:val="1"/>
        </w:numPr>
        <w:spacing w:after="60"/>
        <w:ind w:left="400"/>
      </w:pPr>
      <w:r>
        <w:rPr>
          <w:sz w:val="22"/>
          <w:szCs w:val="22"/>
        </w:rPr>
        <w:t xml:space="preserve">A DNS resolution module — calls to Windows API functions such as </w:t>
      </w:r>
      <w:proofErr w:type="spellStart"/>
      <w:proofErr w:type="gramStart"/>
      <w:r>
        <w:rPr>
          <w:sz w:val="22"/>
          <w:szCs w:val="22"/>
        </w:rPr>
        <w:t>gethostbyname</w:t>
      </w:r>
      <w:proofErr w:type="spellEnd"/>
      <w:r>
        <w:rPr>
          <w:sz w:val="22"/>
          <w:szCs w:val="22"/>
        </w:rPr>
        <w:t>(</w:t>
      </w:r>
      <w:proofErr w:type="gramEnd"/>
      <w:r>
        <w:rPr>
          <w:sz w:val="22"/>
          <w:szCs w:val="22"/>
        </w:rPr>
        <w:t xml:space="preserve">), </w:t>
      </w:r>
      <w:proofErr w:type="spellStart"/>
      <w:proofErr w:type="gramStart"/>
      <w:r>
        <w:rPr>
          <w:sz w:val="22"/>
          <w:szCs w:val="22"/>
        </w:rPr>
        <w:t>getaddrinfo</w:t>
      </w:r>
      <w:proofErr w:type="spellEnd"/>
      <w:r>
        <w:rPr>
          <w:sz w:val="22"/>
          <w:szCs w:val="22"/>
        </w:rPr>
        <w:t>(</w:t>
      </w:r>
      <w:proofErr w:type="gramEnd"/>
      <w:r>
        <w:rPr>
          <w:sz w:val="22"/>
          <w:szCs w:val="22"/>
        </w:rPr>
        <w:t xml:space="preserve">), or </w:t>
      </w:r>
      <w:proofErr w:type="spellStart"/>
      <w:proofErr w:type="gramStart"/>
      <w:r>
        <w:rPr>
          <w:sz w:val="22"/>
          <w:szCs w:val="22"/>
        </w:rPr>
        <w:t>DnsQuery</w:t>
      </w:r>
      <w:proofErr w:type="spellEnd"/>
      <w:r>
        <w:rPr>
          <w:sz w:val="22"/>
          <w:szCs w:val="22"/>
        </w:rPr>
        <w:t>(</w:t>
      </w:r>
      <w:proofErr w:type="gramEnd"/>
      <w:r>
        <w:rPr>
          <w:sz w:val="22"/>
          <w:szCs w:val="22"/>
        </w:rPr>
        <w:t>) used to resolve domain names to IP addresses</w:t>
      </w:r>
    </w:p>
    <w:p w14:paraId="204973F0" w14:textId="77777777" w:rsidR="004B229F" w:rsidRDefault="00000000">
      <w:pPr>
        <w:pStyle w:val="ListParagraph"/>
        <w:numPr>
          <w:ilvl w:val="0"/>
          <w:numId w:val="1"/>
        </w:numPr>
        <w:spacing w:after="60"/>
        <w:ind w:left="400"/>
      </w:pPr>
      <w:r>
        <w:rPr>
          <w:sz w:val="22"/>
          <w:szCs w:val="22"/>
        </w:rPr>
        <w:t>A WHOIS/network-information module — functions that open sockets (</w:t>
      </w:r>
      <w:proofErr w:type="gramStart"/>
      <w:r>
        <w:rPr>
          <w:sz w:val="22"/>
          <w:szCs w:val="22"/>
        </w:rPr>
        <w:t>socket(</w:t>
      </w:r>
      <w:proofErr w:type="gramEnd"/>
      <w:r>
        <w:rPr>
          <w:sz w:val="22"/>
          <w:szCs w:val="22"/>
        </w:rPr>
        <w:t xml:space="preserve">), </w:t>
      </w:r>
      <w:proofErr w:type="gramStart"/>
      <w:r>
        <w:rPr>
          <w:sz w:val="22"/>
          <w:szCs w:val="22"/>
        </w:rPr>
        <w:t>connect(</w:t>
      </w:r>
      <w:proofErr w:type="gramEnd"/>
      <w:r>
        <w:rPr>
          <w:sz w:val="22"/>
          <w:szCs w:val="22"/>
        </w:rPr>
        <w:t xml:space="preserve">), </w:t>
      </w:r>
      <w:proofErr w:type="gramStart"/>
      <w:r>
        <w:rPr>
          <w:sz w:val="22"/>
          <w:szCs w:val="22"/>
        </w:rPr>
        <w:t>send(</w:t>
      </w:r>
      <w:proofErr w:type="gramEnd"/>
      <w:r>
        <w:rPr>
          <w:sz w:val="22"/>
          <w:szCs w:val="22"/>
        </w:rPr>
        <w:t xml:space="preserve">), </w:t>
      </w:r>
      <w:proofErr w:type="spellStart"/>
      <w:proofErr w:type="gramStart"/>
      <w:r>
        <w:rPr>
          <w:sz w:val="22"/>
          <w:szCs w:val="22"/>
        </w:rPr>
        <w:t>recv</w:t>
      </w:r>
      <w:proofErr w:type="spellEnd"/>
      <w:r>
        <w:rPr>
          <w:sz w:val="22"/>
          <w:szCs w:val="22"/>
        </w:rPr>
        <w:t>(</w:t>
      </w:r>
      <w:proofErr w:type="gramEnd"/>
      <w:r>
        <w:rPr>
          <w:sz w:val="22"/>
          <w:szCs w:val="22"/>
        </w:rPr>
        <w:t>)) to query WHOIS servers or regional internet registries for domain and IP ownership data</w:t>
      </w:r>
    </w:p>
    <w:p w14:paraId="3CF18A3D" w14:textId="77777777" w:rsidR="004B229F" w:rsidRDefault="00000000">
      <w:pPr>
        <w:pStyle w:val="ListParagraph"/>
        <w:numPr>
          <w:ilvl w:val="0"/>
          <w:numId w:val="1"/>
        </w:numPr>
        <w:spacing w:after="60"/>
        <w:ind w:left="400"/>
      </w:pPr>
      <w:r>
        <w:rPr>
          <w:sz w:val="22"/>
          <w:szCs w:val="22"/>
        </w:rPr>
        <w:t>A parsing/data-aggregation module — string-processing routines that extract fields (registrant, name servers, IP ranges) from the raw responses and store them in an internal structure or output file</w:t>
      </w:r>
    </w:p>
    <w:p w14:paraId="19512E03" w14:textId="77777777" w:rsidR="004B229F" w:rsidRDefault="00000000">
      <w:pPr>
        <w:pStyle w:val="ListParagraph"/>
        <w:numPr>
          <w:ilvl w:val="0"/>
          <w:numId w:val="1"/>
        </w:numPr>
        <w:spacing w:after="60"/>
        <w:ind w:left="400"/>
      </w:pPr>
      <w:r>
        <w:rPr>
          <w:sz w:val="22"/>
          <w:szCs w:val="22"/>
        </w:rPr>
        <w:t>A logging/export module — functions responsible for writing the collected data to a local file, log, or sending it to a remote server (identifiable through file I/O or outbound network API calls)</w:t>
      </w:r>
    </w:p>
    <w:p w14:paraId="5A5EF97D" w14:textId="77777777" w:rsidR="004B229F" w:rsidRDefault="00000000">
      <w:pPr>
        <w:spacing w:after="100"/>
        <w:ind w:left="200"/>
      </w:pPr>
      <w:r>
        <w:rPr>
          <w:sz w:val="22"/>
          <w:szCs w:val="22"/>
        </w:rPr>
        <w:t>These modules can usually be located by examining the Import Address Table (IAT) for networking and file APIs, then tracing cross-references (</w:t>
      </w:r>
      <w:proofErr w:type="spellStart"/>
      <w:r>
        <w:rPr>
          <w:sz w:val="22"/>
          <w:szCs w:val="22"/>
        </w:rPr>
        <w:t>xrefs</w:t>
      </w:r>
      <w:proofErr w:type="spellEnd"/>
      <w:r>
        <w:rPr>
          <w:sz w:val="22"/>
          <w:szCs w:val="22"/>
        </w:rPr>
        <w:t>) from those imports back to the functions that call them.</w:t>
      </w:r>
    </w:p>
    <w:p w14:paraId="0896066E" w14:textId="77777777" w:rsidR="004B229F" w:rsidRDefault="00000000">
      <w:pPr>
        <w:spacing w:before="200" w:after="80"/>
      </w:pPr>
      <w:r>
        <w:rPr>
          <w:b/>
          <w:bCs/>
          <w:color w:val="C00000"/>
          <w:sz w:val="23"/>
          <w:szCs w:val="23"/>
        </w:rPr>
        <w:t xml:space="preserve">Q2. What </w:t>
      </w:r>
      <w:proofErr w:type="spellStart"/>
      <w:r>
        <w:rPr>
          <w:b/>
          <w:bCs/>
          <w:color w:val="C00000"/>
          <w:sz w:val="23"/>
          <w:szCs w:val="23"/>
        </w:rPr>
        <w:t>footprinting</w:t>
      </w:r>
      <w:proofErr w:type="spellEnd"/>
      <w:r>
        <w:rPr>
          <w:b/>
          <w:bCs/>
          <w:color w:val="C00000"/>
          <w:sz w:val="23"/>
          <w:szCs w:val="23"/>
        </w:rPr>
        <w:t xml:space="preserve"> techniques are implemented in the executable?</w:t>
      </w:r>
    </w:p>
    <w:p w14:paraId="7E817184" w14:textId="77777777" w:rsidR="004B229F" w:rsidRDefault="00000000">
      <w:pPr>
        <w:spacing w:after="60"/>
      </w:pPr>
      <w:r>
        <w:rPr>
          <w:b/>
          <w:bCs/>
          <w:color w:val="375623"/>
          <w:sz w:val="22"/>
          <w:szCs w:val="22"/>
          <w:u w:val="single"/>
        </w:rPr>
        <w:t>Answer:</w:t>
      </w:r>
    </w:p>
    <w:p w14:paraId="46ECC0B3" w14:textId="77777777" w:rsidR="004B229F" w:rsidRDefault="00000000">
      <w:pPr>
        <w:spacing w:after="100"/>
        <w:ind w:left="200"/>
      </w:pPr>
      <w:proofErr w:type="spellStart"/>
      <w:r>
        <w:rPr>
          <w:sz w:val="22"/>
          <w:szCs w:val="22"/>
        </w:rPr>
        <w:t>Analyzing</w:t>
      </w:r>
      <w:proofErr w:type="spellEnd"/>
      <w:r>
        <w:rPr>
          <w:sz w:val="22"/>
          <w:szCs w:val="22"/>
        </w:rPr>
        <w:t xml:space="preserve"> the strings, imported APIs, and control flow of FootPrintX.exe would reveal which classic </w:t>
      </w:r>
      <w:proofErr w:type="spellStart"/>
      <w:r>
        <w:rPr>
          <w:sz w:val="22"/>
          <w:szCs w:val="22"/>
        </w:rPr>
        <w:t>footprinting</w:t>
      </w:r>
      <w:proofErr w:type="spellEnd"/>
      <w:r>
        <w:rPr>
          <w:sz w:val="22"/>
          <w:szCs w:val="22"/>
        </w:rPr>
        <w:t xml:space="preserve"> techniques are automated inside the binary. Likely implemented techniques include:</w:t>
      </w:r>
    </w:p>
    <w:p w14:paraId="03A974AA" w14:textId="77777777" w:rsidR="004B229F" w:rsidRDefault="00000000">
      <w:pPr>
        <w:pStyle w:val="ListParagraph"/>
        <w:numPr>
          <w:ilvl w:val="0"/>
          <w:numId w:val="1"/>
        </w:numPr>
        <w:spacing w:after="60"/>
        <w:ind w:left="400"/>
      </w:pPr>
      <w:r>
        <w:rPr>
          <w:sz w:val="22"/>
          <w:szCs w:val="22"/>
        </w:rPr>
        <w:t xml:space="preserve">DNS-based </w:t>
      </w:r>
      <w:proofErr w:type="spellStart"/>
      <w:r>
        <w:rPr>
          <w:sz w:val="22"/>
          <w:szCs w:val="22"/>
        </w:rPr>
        <w:t>footprinting</w:t>
      </w:r>
      <w:proofErr w:type="spellEnd"/>
      <w:r>
        <w:rPr>
          <w:sz w:val="22"/>
          <w:szCs w:val="22"/>
        </w:rPr>
        <w:t xml:space="preserve"> — resolving domains, enumerating subdomains, and querying DNS record types (A, MX, NS)</w:t>
      </w:r>
    </w:p>
    <w:p w14:paraId="16ED44E0" w14:textId="77777777" w:rsidR="004B229F" w:rsidRDefault="00000000">
      <w:pPr>
        <w:pStyle w:val="ListParagraph"/>
        <w:numPr>
          <w:ilvl w:val="0"/>
          <w:numId w:val="1"/>
        </w:numPr>
        <w:spacing w:after="60"/>
        <w:ind w:left="400"/>
      </w:pPr>
      <w:r>
        <w:rPr>
          <w:sz w:val="22"/>
          <w:szCs w:val="22"/>
        </w:rPr>
        <w:t>WHOIS lookups — automated queries to WHOIS servers to retrieve domain registration and IP allocation details</w:t>
      </w:r>
    </w:p>
    <w:p w14:paraId="2777F1CF" w14:textId="77777777" w:rsidR="004B229F" w:rsidRDefault="00000000">
      <w:pPr>
        <w:pStyle w:val="ListParagraph"/>
        <w:numPr>
          <w:ilvl w:val="0"/>
          <w:numId w:val="1"/>
        </w:numPr>
        <w:spacing w:after="60"/>
        <w:ind w:left="400"/>
      </w:pPr>
      <w:r>
        <w:rPr>
          <w:sz w:val="22"/>
          <w:szCs w:val="22"/>
        </w:rPr>
        <w:t>Network range discovery — deriving IP address blocks (CIDR ranges) owned by the target organization, often via regional registries</w:t>
      </w:r>
    </w:p>
    <w:p w14:paraId="3F846106" w14:textId="77777777" w:rsidR="004B229F" w:rsidRDefault="00000000">
      <w:pPr>
        <w:pStyle w:val="ListParagraph"/>
        <w:numPr>
          <w:ilvl w:val="0"/>
          <w:numId w:val="1"/>
        </w:numPr>
        <w:spacing w:after="60"/>
        <w:ind w:left="400"/>
      </w:pPr>
      <w:r>
        <w:rPr>
          <w:sz w:val="22"/>
          <w:szCs w:val="22"/>
        </w:rPr>
        <w:t>Passive web reconnaissance — possible use of search-engine queries or hardcoded API endpoints (e.g., third-party OSINT services) referenced in the binary's string table</w:t>
      </w:r>
    </w:p>
    <w:p w14:paraId="548B0051" w14:textId="77777777" w:rsidR="004B229F" w:rsidRDefault="00000000">
      <w:pPr>
        <w:spacing w:after="100"/>
        <w:ind w:left="200"/>
      </w:pPr>
      <w:r>
        <w:rPr>
          <w:sz w:val="22"/>
          <w:szCs w:val="22"/>
        </w:rPr>
        <w:lastRenderedPageBreak/>
        <w:t>Identifying hardcoded URLs, API keys, or domain strings inside the binary (via a strings dump) is usually the fastest way to confirm exactly which external services and techniques the tool relies on.</w:t>
      </w:r>
    </w:p>
    <w:p w14:paraId="7397F4CC" w14:textId="77777777" w:rsidR="004B229F" w:rsidRDefault="00000000">
      <w:pPr>
        <w:spacing w:before="200" w:after="80"/>
      </w:pPr>
      <w:r>
        <w:rPr>
          <w:b/>
          <w:bCs/>
          <w:color w:val="C00000"/>
          <w:sz w:val="23"/>
          <w:szCs w:val="23"/>
        </w:rPr>
        <w:t>Q3. How can the information collection process be disabled or modified?</w:t>
      </w:r>
    </w:p>
    <w:p w14:paraId="279719FE" w14:textId="77777777" w:rsidR="004B229F" w:rsidRDefault="00000000">
      <w:pPr>
        <w:spacing w:after="60"/>
      </w:pPr>
      <w:r>
        <w:rPr>
          <w:b/>
          <w:bCs/>
          <w:color w:val="375623"/>
          <w:sz w:val="22"/>
          <w:szCs w:val="22"/>
          <w:u w:val="single"/>
        </w:rPr>
        <w:t>Answer:</w:t>
      </w:r>
    </w:p>
    <w:p w14:paraId="6ACCDDB1" w14:textId="77777777" w:rsidR="004B229F" w:rsidRDefault="00000000">
      <w:pPr>
        <w:spacing w:after="100"/>
        <w:ind w:left="200"/>
      </w:pPr>
      <w:r>
        <w:rPr>
          <w:sz w:val="22"/>
          <w:szCs w:val="22"/>
        </w:rPr>
        <w:t xml:space="preserve">Once the responsible functions are located, the analyst has several options to disable or alter the tool's </w:t>
      </w:r>
      <w:proofErr w:type="spellStart"/>
      <w:r>
        <w:rPr>
          <w:sz w:val="22"/>
          <w:szCs w:val="22"/>
        </w:rPr>
        <w:t>behavior</w:t>
      </w:r>
      <w:proofErr w:type="spellEnd"/>
      <w:r>
        <w:rPr>
          <w:sz w:val="22"/>
          <w:szCs w:val="22"/>
        </w:rPr>
        <w:t xml:space="preserve"> for testing or containment purposes:</w:t>
      </w:r>
    </w:p>
    <w:p w14:paraId="5061C6E3" w14:textId="77777777" w:rsidR="004B229F" w:rsidRDefault="00000000">
      <w:pPr>
        <w:pStyle w:val="ListParagraph"/>
        <w:numPr>
          <w:ilvl w:val="0"/>
          <w:numId w:val="1"/>
        </w:numPr>
        <w:spacing w:after="60"/>
        <w:ind w:left="400"/>
      </w:pPr>
      <w:r>
        <w:rPr>
          <w:sz w:val="22"/>
          <w:szCs w:val="22"/>
        </w:rPr>
        <w:t xml:space="preserve">Binary patching — use a disassembler/patcher (e.g., </w:t>
      </w:r>
      <w:proofErr w:type="spellStart"/>
      <w:r>
        <w:rPr>
          <w:sz w:val="22"/>
          <w:szCs w:val="22"/>
        </w:rPr>
        <w:t>Ghidra</w:t>
      </w:r>
      <w:proofErr w:type="spellEnd"/>
      <w:r>
        <w:rPr>
          <w:sz w:val="22"/>
          <w:szCs w:val="22"/>
        </w:rPr>
        <w:t>, x64dbg) to NOP-out or redirect the call instructions that invoke the network/collection functions, preventing them from executing</w:t>
      </w:r>
    </w:p>
    <w:p w14:paraId="5217C868" w14:textId="77777777" w:rsidR="004B229F" w:rsidRDefault="00000000">
      <w:pPr>
        <w:pStyle w:val="ListParagraph"/>
        <w:numPr>
          <w:ilvl w:val="0"/>
          <w:numId w:val="1"/>
        </w:numPr>
        <w:spacing w:after="60"/>
        <w:ind w:left="400"/>
      </w:pPr>
      <w:r>
        <w:rPr>
          <w:sz w:val="22"/>
          <w:szCs w:val="22"/>
        </w:rPr>
        <w:t>API hooking — intercept the relevant Windows API calls (e.g., using Detours or Frida) at runtime to block or log outgoing WHOIS/DNS requests without modifying the file on disk</w:t>
      </w:r>
    </w:p>
    <w:p w14:paraId="757024BB" w14:textId="77777777" w:rsidR="004B229F" w:rsidRDefault="00000000">
      <w:pPr>
        <w:pStyle w:val="ListParagraph"/>
        <w:numPr>
          <w:ilvl w:val="0"/>
          <w:numId w:val="1"/>
        </w:numPr>
        <w:spacing w:after="60"/>
        <w:ind w:left="400"/>
      </w:pPr>
      <w:r>
        <w:rPr>
          <w:sz w:val="22"/>
          <w:szCs w:val="22"/>
        </w:rPr>
        <w:t>Network-level controls — block outbound traffic to the WHOIS servers, DNS resolvers, or hardcoded endpoints identified during analysis, using firewall rules, effectively neutralizing the collection functionality without touching the binary</w:t>
      </w:r>
    </w:p>
    <w:p w14:paraId="6A3E09CD" w14:textId="77777777" w:rsidR="004B229F" w:rsidRDefault="00000000">
      <w:pPr>
        <w:pStyle w:val="ListParagraph"/>
        <w:numPr>
          <w:ilvl w:val="0"/>
          <w:numId w:val="1"/>
        </w:numPr>
        <w:spacing w:after="60"/>
        <w:ind w:left="400"/>
      </w:pPr>
      <w:r>
        <w:rPr>
          <w:sz w:val="22"/>
          <w:szCs w:val="22"/>
        </w:rPr>
        <w:t>Configuration/registry tampering — if the tool reads settings from a config file or registry key to decide what to collect, altering or removing those settings can disable specific collection modules</w:t>
      </w:r>
    </w:p>
    <w:p w14:paraId="690ADEA7" w14:textId="77777777" w:rsidR="004B229F" w:rsidRDefault="00000000">
      <w:pPr>
        <w:spacing w:after="100"/>
        <w:ind w:left="200"/>
      </w:pPr>
      <w:r>
        <w:rPr>
          <w:sz w:val="22"/>
          <w:szCs w:val="22"/>
        </w:rPr>
        <w:t>In a controlled lab environment, running the modified/patched binary and confirming (via a network monitor such as Wireshark) that the target requests no longer occur validates that the collection process has been successfully disabled.</w:t>
      </w:r>
    </w:p>
    <w:p w14:paraId="610C9D0F" w14:textId="77777777" w:rsidR="004B229F" w:rsidRDefault="00000000">
      <w:pPr>
        <w:shd w:val="clear" w:color="auto" w:fill="D9E2F3"/>
        <w:spacing w:before="300" w:after="100"/>
      </w:pPr>
      <w:r>
        <w:rPr>
          <w:b/>
          <w:bCs/>
          <w:color w:val="1F3864"/>
          <w:sz w:val="24"/>
          <w:szCs w:val="24"/>
        </w:rPr>
        <w:t>Task 2</w:t>
      </w:r>
    </w:p>
    <w:p w14:paraId="3BF233F9" w14:textId="77777777" w:rsidR="004B229F" w:rsidRDefault="00000000">
      <w:pPr>
        <w:spacing w:after="200"/>
      </w:pPr>
      <w:r>
        <w:rPr>
          <w:i/>
          <w:iCs/>
          <w:sz w:val="22"/>
          <w:szCs w:val="22"/>
        </w:rPr>
        <w:t xml:space="preserve">A file named DNSScan.exe has been found during a security audit. Preliminary analysis suggests that the program attempts to gather DNS information from external servers. Security analysts suspect that it performs DNS zone transfer operations to obtain detailed records of a target domain. Reverse engineer the executable to determine its </w:t>
      </w:r>
      <w:proofErr w:type="spellStart"/>
      <w:r>
        <w:rPr>
          <w:i/>
          <w:iCs/>
          <w:sz w:val="22"/>
          <w:szCs w:val="22"/>
        </w:rPr>
        <w:t>behavior</w:t>
      </w:r>
      <w:proofErr w:type="spellEnd"/>
      <w:r>
        <w:rPr>
          <w:i/>
          <w:iCs/>
          <w:sz w:val="22"/>
          <w:szCs w:val="22"/>
        </w:rPr>
        <w:t xml:space="preserve"> and associated risks.</w:t>
      </w:r>
    </w:p>
    <w:p w14:paraId="55C0A408" w14:textId="77777777" w:rsidR="004B229F" w:rsidRDefault="00000000">
      <w:pPr>
        <w:spacing w:before="200" w:after="80"/>
      </w:pPr>
      <w:r>
        <w:rPr>
          <w:b/>
          <w:bCs/>
          <w:color w:val="C00000"/>
          <w:sz w:val="23"/>
          <w:szCs w:val="23"/>
        </w:rPr>
        <w:t>Q1. Which function is responsible for initiating DNS requests?</w:t>
      </w:r>
    </w:p>
    <w:p w14:paraId="5A61B92C" w14:textId="77777777" w:rsidR="004B229F" w:rsidRDefault="00000000">
      <w:pPr>
        <w:spacing w:after="60"/>
      </w:pPr>
      <w:r>
        <w:rPr>
          <w:b/>
          <w:bCs/>
          <w:color w:val="375623"/>
          <w:sz w:val="22"/>
          <w:szCs w:val="22"/>
          <w:u w:val="single"/>
        </w:rPr>
        <w:t>Answer:</w:t>
      </w:r>
    </w:p>
    <w:p w14:paraId="7209A6E5" w14:textId="77777777" w:rsidR="004B229F" w:rsidRDefault="00000000">
      <w:pPr>
        <w:spacing w:after="100"/>
        <w:ind w:left="200"/>
      </w:pPr>
      <w:r>
        <w:rPr>
          <w:sz w:val="22"/>
          <w:szCs w:val="22"/>
        </w:rPr>
        <w:t xml:space="preserve">In the disassembly, the analyst would search the Import Address Table for DNS- and socket-related API calls, then trace which internal function calls them. </w:t>
      </w:r>
      <w:proofErr w:type="gramStart"/>
      <w:r>
        <w:rPr>
          <w:sz w:val="22"/>
          <w:szCs w:val="22"/>
        </w:rPr>
        <w:t>Typically</w:t>
      </w:r>
      <w:proofErr w:type="gramEnd"/>
      <w:r>
        <w:rPr>
          <w:sz w:val="22"/>
          <w:szCs w:val="22"/>
        </w:rPr>
        <w:t xml:space="preserve"> responsible are:</w:t>
      </w:r>
    </w:p>
    <w:p w14:paraId="77549E31" w14:textId="77777777" w:rsidR="004B229F" w:rsidRDefault="00000000">
      <w:pPr>
        <w:pStyle w:val="ListParagraph"/>
        <w:numPr>
          <w:ilvl w:val="0"/>
          <w:numId w:val="1"/>
        </w:numPr>
        <w:spacing w:after="60"/>
        <w:ind w:left="400"/>
      </w:pPr>
      <w:r>
        <w:rPr>
          <w:sz w:val="22"/>
          <w:szCs w:val="22"/>
        </w:rPr>
        <w:t xml:space="preserve">A dedicated internal routine (e.g., named something like </w:t>
      </w:r>
      <w:proofErr w:type="spellStart"/>
      <w:r>
        <w:rPr>
          <w:sz w:val="22"/>
          <w:szCs w:val="22"/>
        </w:rPr>
        <w:t>SendDnsQuery</w:t>
      </w:r>
      <w:proofErr w:type="spellEnd"/>
      <w:r>
        <w:rPr>
          <w:sz w:val="22"/>
          <w:szCs w:val="22"/>
        </w:rPr>
        <w:t xml:space="preserve"> or similar in the symbol table, if not stripped) that constructs and sends DNS packets over UDP/TCP port 53</w:t>
      </w:r>
    </w:p>
    <w:p w14:paraId="0445B983" w14:textId="77777777" w:rsidR="004B229F" w:rsidRDefault="00000000">
      <w:pPr>
        <w:pStyle w:val="ListParagraph"/>
        <w:numPr>
          <w:ilvl w:val="0"/>
          <w:numId w:val="1"/>
        </w:numPr>
        <w:spacing w:after="60"/>
        <w:ind w:left="400"/>
      </w:pPr>
      <w:r>
        <w:rPr>
          <w:sz w:val="22"/>
          <w:szCs w:val="22"/>
        </w:rPr>
        <w:t xml:space="preserve">Calls to low-level networking functions such as </w:t>
      </w:r>
      <w:proofErr w:type="gramStart"/>
      <w:r>
        <w:rPr>
          <w:sz w:val="22"/>
          <w:szCs w:val="22"/>
        </w:rPr>
        <w:t>socket(</w:t>
      </w:r>
      <w:proofErr w:type="gramEnd"/>
      <w:r>
        <w:rPr>
          <w:sz w:val="22"/>
          <w:szCs w:val="22"/>
        </w:rPr>
        <w:t xml:space="preserve">), </w:t>
      </w:r>
      <w:proofErr w:type="gramStart"/>
      <w:r>
        <w:rPr>
          <w:sz w:val="22"/>
          <w:szCs w:val="22"/>
        </w:rPr>
        <w:t>connect(</w:t>
      </w:r>
      <w:proofErr w:type="gramEnd"/>
      <w:r>
        <w:rPr>
          <w:sz w:val="22"/>
          <w:szCs w:val="22"/>
        </w:rPr>
        <w:t xml:space="preserve">), </w:t>
      </w:r>
      <w:proofErr w:type="spellStart"/>
      <w:proofErr w:type="gramStart"/>
      <w:r>
        <w:rPr>
          <w:sz w:val="22"/>
          <w:szCs w:val="22"/>
        </w:rPr>
        <w:t>sendto</w:t>
      </w:r>
      <w:proofErr w:type="spellEnd"/>
      <w:r>
        <w:rPr>
          <w:sz w:val="22"/>
          <w:szCs w:val="22"/>
        </w:rPr>
        <w:t>(</w:t>
      </w:r>
      <w:proofErr w:type="gramEnd"/>
      <w:r>
        <w:rPr>
          <w:sz w:val="22"/>
          <w:szCs w:val="22"/>
        </w:rPr>
        <w:t xml:space="preserve">), and </w:t>
      </w:r>
      <w:proofErr w:type="spellStart"/>
      <w:proofErr w:type="gramStart"/>
      <w:r>
        <w:rPr>
          <w:sz w:val="22"/>
          <w:szCs w:val="22"/>
        </w:rPr>
        <w:t>recvfrom</w:t>
      </w:r>
      <w:proofErr w:type="spellEnd"/>
      <w:r>
        <w:rPr>
          <w:sz w:val="22"/>
          <w:szCs w:val="22"/>
        </w:rPr>
        <w:t>(</w:t>
      </w:r>
      <w:proofErr w:type="gramEnd"/>
      <w:r>
        <w:rPr>
          <w:sz w:val="22"/>
          <w:szCs w:val="22"/>
        </w:rPr>
        <w:t xml:space="preserve">), or higher-level DNS APIs like </w:t>
      </w:r>
      <w:proofErr w:type="spellStart"/>
      <w:r>
        <w:rPr>
          <w:sz w:val="22"/>
          <w:szCs w:val="22"/>
        </w:rPr>
        <w:t>DnsQuery_</w:t>
      </w:r>
      <w:proofErr w:type="gramStart"/>
      <w:r>
        <w:rPr>
          <w:sz w:val="22"/>
          <w:szCs w:val="22"/>
        </w:rPr>
        <w:t>A</w:t>
      </w:r>
      <w:proofErr w:type="spellEnd"/>
      <w:r>
        <w:rPr>
          <w:sz w:val="22"/>
          <w:szCs w:val="22"/>
        </w:rPr>
        <w:t>(</w:t>
      </w:r>
      <w:proofErr w:type="gramEnd"/>
      <w:r>
        <w:rPr>
          <w:sz w:val="22"/>
          <w:szCs w:val="22"/>
        </w:rPr>
        <w:t>) on Windows</w:t>
      </w:r>
    </w:p>
    <w:p w14:paraId="01EA85E0" w14:textId="77777777" w:rsidR="004B229F" w:rsidRDefault="00000000">
      <w:pPr>
        <w:pStyle w:val="ListParagraph"/>
        <w:numPr>
          <w:ilvl w:val="0"/>
          <w:numId w:val="1"/>
        </w:numPr>
        <w:spacing w:after="60"/>
        <w:ind w:left="400"/>
      </w:pPr>
      <w:r>
        <w:rPr>
          <w:sz w:val="22"/>
          <w:szCs w:val="22"/>
        </w:rPr>
        <w:t>This function is usually invoked early in the program's execution flow, shortly after the target domain name is parsed from user input, a configuration file, or a command-line argument</w:t>
      </w:r>
    </w:p>
    <w:p w14:paraId="1D1E8718" w14:textId="77777777" w:rsidR="004B229F" w:rsidRDefault="00000000">
      <w:pPr>
        <w:spacing w:after="100"/>
        <w:ind w:left="200"/>
      </w:pPr>
      <w:r>
        <w:rPr>
          <w:sz w:val="22"/>
          <w:szCs w:val="22"/>
        </w:rPr>
        <w:t>Setting a breakpoint on the socket/connect API calls in a debugger and observing the call stack when the program runs against a test domain confirms exactly which function initiates the DNS request.</w:t>
      </w:r>
    </w:p>
    <w:p w14:paraId="37315759" w14:textId="77777777" w:rsidR="004B229F" w:rsidRDefault="00000000">
      <w:pPr>
        <w:spacing w:before="200" w:after="80"/>
      </w:pPr>
      <w:r>
        <w:rPr>
          <w:b/>
          <w:bCs/>
          <w:color w:val="C00000"/>
          <w:sz w:val="23"/>
          <w:szCs w:val="23"/>
        </w:rPr>
        <w:t>Q2. Does the application attempt an AXFR (Zone Transfer) request? Justify your answer.</w:t>
      </w:r>
    </w:p>
    <w:p w14:paraId="7AF0C194" w14:textId="77777777" w:rsidR="004B229F" w:rsidRDefault="00000000">
      <w:pPr>
        <w:spacing w:after="60"/>
      </w:pPr>
      <w:r>
        <w:rPr>
          <w:b/>
          <w:bCs/>
          <w:color w:val="375623"/>
          <w:sz w:val="22"/>
          <w:szCs w:val="22"/>
          <w:u w:val="single"/>
        </w:rPr>
        <w:t>Answer:</w:t>
      </w:r>
    </w:p>
    <w:p w14:paraId="013F3937" w14:textId="77777777" w:rsidR="004B229F" w:rsidRDefault="00000000">
      <w:pPr>
        <w:spacing w:after="100"/>
        <w:ind w:left="200"/>
      </w:pPr>
      <w:r>
        <w:rPr>
          <w:sz w:val="22"/>
          <w:szCs w:val="22"/>
        </w:rPr>
        <w:t>To confirm an AXFR attempt, the analyst examines both the binary and its live network traffic:</w:t>
      </w:r>
    </w:p>
    <w:p w14:paraId="71829C90" w14:textId="77777777" w:rsidR="004B229F" w:rsidRDefault="00000000">
      <w:pPr>
        <w:pStyle w:val="ListParagraph"/>
        <w:numPr>
          <w:ilvl w:val="0"/>
          <w:numId w:val="1"/>
        </w:numPr>
        <w:spacing w:after="60"/>
        <w:ind w:left="400"/>
      </w:pPr>
      <w:r>
        <w:rPr>
          <w:sz w:val="22"/>
          <w:szCs w:val="22"/>
        </w:rPr>
        <w:t>Static evidence — the DNS query type field is hardcoded or configurable in the packet-construction routine. An AXFR request uses query type value 252 (0xFC) in the DNS question section, which can be found as a constant in the disassembled code</w:t>
      </w:r>
    </w:p>
    <w:p w14:paraId="3ABD3940" w14:textId="77777777" w:rsidR="004B229F" w:rsidRDefault="00000000">
      <w:pPr>
        <w:pStyle w:val="ListParagraph"/>
        <w:numPr>
          <w:ilvl w:val="0"/>
          <w:numId w:val="1"/>
        </w:numPr>
        <w:spacing w:after="60"/>
        <w:ind w:left="400"/>
      </w:pPr>
      <w:r>
        <w:rPr>
          <w:sz w:val="22"/>
          <w:szCs w:val="22"/>
        </w:rPr>
        <w:t>Dynamic evidence — running the program in a sandboxed network and capturing traffic with Wireshark would show a DNS query over TCP (zone transfers require TCP, not UDP, due to potentially large response size) with QTYPE = AXFR directed at the target's authoritative name server</w:t>
      </w:r>
    </w:p>
    <w:p w14:paraId="084A11B6" w14:textId="77777777" w:rsidR="004B229F" w:rsidRDefault="00000000">
      <w:pPr>
        <w:spacing w:after="100"/>
        <w:ind w:left="200"/>
      </w:pPr>
      <w:r>
        <w:rPr>
          <w:sz w:val="22"/>
          <w:szCs w:val="22"/>
        </w:rPr>
        <w:t>If both the hardcoded query-type constant and the observed TCP-based DNS request to port 53 are present, this justifies the conclusion that DNSScan.exe does attempt an AXFR zone transfer. If the DNS server being queried is properly secured (restricting transfers to authorized secondary servers), the request would be refused, which the tool's error-handling code would also reveal in the disassembly.</w:t>
      </w:r>
    </w:p>
    <w:p w14:paraId="1C963535" w14:textId="77777777" w:rsidR="004B229F" w:rsidRDefault="00000000">
      <w:pPr>
        <w:spacing w:before="200" w:after="80"/>
      </w:pPr>
      <w:r>
        <w:rPr>
          <w:b/>
          <w:bCs/>
          <w:color w:val="C00000"/>
          <w:sz w:val="23"/>
          <w:szCs w:val="23"/>
        </w:rPr>
        <w:lastRenderedPageBreak/>
        <w:t>Q3. What information can an attacker obtain using the extracted DNS records?</w:t>
      </w:r>
    </w:p>
    <w:p w14:paraId="4983EDAC" w14:textId="77777777" w:rsidR="004B229F" w:rsidRDefault="00000000">
      <w:pPr>
        <w:spacing w:after="60"/>
      </w:pPr>
      <w:r>
        <w:rPr>
          <w:b/>
          <w:bCs/>
          <w:color w:val="375623"/>
          <w:sz w:val="22"/>
          <w:szCs w:val="22"/>
          <w:u w:val="single"/>
        </w:rPr>
        <w:t>Answer:</w:t>
      </w:r>
    </w:p>
    <w:p w14:paraId="6541BAE5" w14:textId="77777777" w:rsidR="004B229F" w:rsidRDefault="00000000">
      <w:pPr>
        <w:spacing w:after="100"/>
        <w:ind w:left="200"/>
      </w:pPr>
      <w:r>
        <w:rPr>
          <w:sz w:val="22"/>
          <w:szCs w:val="22"/>
        </w:rPr>
        <w:t>If the zone transfer succeeds, the attacker receives the organization's complete internal DNS zone file, exposing:</w:t>
      </w:r>
    </w:p>
    <w:p w14:paraId="25ABD41C" w14:textId="77777777" w:rsidR="004B229F" w:rsidRDefault="00000000">
      <w:pPr>
        <w:pStyle w:val="ListParagraph"/>
        <w:numPr>
          <w:ilvl w:val="0"/>
          <w:numId w:val="1"/>
        </w:numPr>
        <w:spacing w:after="60"/>
        <w:ind w:left="400"/>
      </w:pPr>
      <w:r>
        <w:rPr>
          <w:sz w:val="22"/>
          <w:szCs w:val="22"/>
        </w:rPr>
        <w:t>A full inventory of hostnames and their internal/external IP addresses (A/AAAA records), including systems never meant to be publicly known</w:t>
      </w:r>
    </w:p>
    <w:p w14:paraId="4BF505BF" w14:textId="77777777" w:rsidR="004B229F" w:rsidRDefault="00000000">
      <w:pPr>
        <w:pStyle w:val="ListParagraph"/>
        <w:numPr>
          <w:ilvl w:val="0"/>
          <w:numId w:val="1"/>
        </w:numPr>
        <w:spacing w:after="60"/>
        <w:ind w:left="400"/>
      </w:pPr>
      <w:r>
        <w:rPr>
          <w:sz w:val="22"/>
          <w:szCs w:val="22"/>
        </w:rPr>
        <w:t>Mail server locations (MX records), useful for planning phishing or email-spoofing attacks</w:t>
      </w:r>
    </w:p>
    <w:p w14:paraId="11EA467C" w14:textId="77777777" w:rsidR="004B229F" w:rsidRDefault="00000000">
      <w:pPr>
        <w:pStyle w:val="ListParagraph"/>
        <w:numPr>
          <w:ilvl w:val="0"/>
          <w:numId w:val="1"/>
        </w:numPr>
        <w:spacing w:after="60"/>
        <w:ind w:left="400"/>
      </w:pPr>
      <w:r>
        <w:rPr>
          <w:sz w:val="22"/>
          <w:szCs w:val="22"/>
        </w:rPr>
        <w:t>Name server details (NS records), revealing the organization's DNS infrastructure and potential secondary targets</w:t>
      </w:r>
    </w:p>
    <w:p w14:paraId="639EAB35" w14:textId="77777777" w:rsidR="004B229F" w:rsidRDefault="00000000">
      <w:pPr>
        <w:pStyle w:val="ListParagraph"/>
        <w:numPr>
          <w:ilvl w:val="0"/>
          <w:numId w:val="1"/>
        </w:numPr>
        <w:spacing w:after="60"/>
        <w:ind w:left="400"/>
      </w:pPr>
      <w:r>
        <w:rPr>
          <w:sz w:val="22"/>
          <w:szCs w:val="22"/>
        </w:rPr>
        <w:t>Aliases and canonical names (CNAME records) that may point to third-party or cloud-hosted services in use</w:t>
      </w:r>
    </w:p>
    <w:p w14:paraId="591AF7E1" w14:textId="77777777" w:rsidR="004B229F" w:rsidRDefault="00000000">
      <w:pPr>
        <w:pStyle w:val="ListParagraph"/>
        <w:numPr>
          <w:ilvl w:val="0"/>
          <w:numId w:val="1"/>
        </w:numPr>
        <w:spacing w:after="60"/>
        <w:ind w:left="400"/>
      </w:pPr>
      <w:r>
        <w:rPr>
          <w:sz w:val="22"/>
          <w:szCs w:val="22"/>
        </w:rPr>
        <w:t>Administrative metadata (SOA record) such as the primary name server and zone serial number, useful for tracking changes over time</w:t>
      </w:r>
    </w:p>
    <w:p w14:paraId="7AA45497" w14:textId="77777777" w:rsidR="004B229F" w:rsidRDefault="00000000">
      <w:pPr>
        <w:spacing w:after="100"/>
        <w:ind w:left="200"/>
      </w:pPr>
      <w:r>
        <w:rPr>
          <w:sz w:val="22"/>
          <w:szCs w:val="22"/>
        </w:rPr>
        <w:t>Collectively, this gives an attacker a ready-made network map, drastically reducing the reconnaissance effort needed before launching a targeted attack.</w:t>
      </w:r>
    </w:p>
    <w:p w14:paraId="0D4E2D9A" w14:textId="77777777" w:rsidR="004B229F" w:rsidRDefault="00000000">
      <w:pPr>
        <w:shd w:val="clear" w:color="auto" w:fill="D9E2F3"/>
        <w:spacing w:before="300" w:after="100"/>
      </w:pPr>
      <w:r>
        <w:rPr>
          <w:b/>
          <w:bCs/>
          <w:color w:val="1F3864"/>
          <w:sz w:val="24"/>
          <w:szCs w:val="24"/>
        </w:rPr>
        <w:t>Task 3</w:t>
      </w:r>
    </w:p>
    <w:p w14:paraId="0B383375" w14:textId="77777777" w:rsidR="004B229F" w:rsidRDefault="00000000">
      <w:pPr>
        <w:spacing w:after="200"/>
      </w:pPr>
      <w:r>
        <w:rPr>
          <w:i/>
          <w:iCs/>
          <w:sz w:val="22"/>
          <w:szCs w:val="22"/>
        </w:rPr>
        <w:t xml:space="preserve">An organization identifies a tool called IntelGather.exe that collects publicly available information from websites and online repositories. The application is suspected of gathering employee details, email addresses, and technology information related to organizations. Since the source code is unavailable, reverse engineering is required to determine the data collection mechanisms. </w:t>
      </w:r>
      <w:proofErr w:type="spellStart"/>
      <w:r>
        <w:rPr>
          <w:i/>
          <w:iCs/>
          <w:sz w:val="22"/>
          <w:szCs w:val="22"/>
        </w:rPr>
        <w:t>Analyze</w:t>
      </w:r>
      <w:proofErr w:type="spellEnd"/>
      <w:r>
        <w:rPr>
          <w:i/>
          <w:iCs/>
          <w:sz w:val="22"/>
          <w:szCs w:val="22"/>
        </w:rPr>
        <w:t xml:space="preserve"> the executable and identify its intelligence-gathering capabilities.</w:t>
      </w:r>
    </w:p>
    <w:p w14:paraId="061AC010" w14:textId="77777777" w:rsidR="004B229F" w:rsidRDefault="00000000">
      <w:pPr>
        <w:spacing w:before="200" w:after="80"/>
      </w:pPr>
      <w:r>
        <w:rPr>
          <w:b/>
          <w:bCs/>
          <w:color w:val="C00000"/>
          <w:sz w:val="23"/>
          <w:szCs w:val="23"/>
        </w:rPr>
        <w:t>Q1. What types of information are collected by the application?</w:t>
      </w:r>
    </w:p>
    <w:p w14:paraId="4B46CDE6" w14:textId="77777777" w:rsidR="004B229F" w:rsidRDefault="00000000">
      <w:pPr>
        <w:spacing w:after="60"/>
      </w:pPr>
      <w:r>
        <w:rPr>
          <w:b/>
          <w:bCs/>
          <w:color w:val="375623"/>
          <w:sz w:val="22"/>
          <w:szCs w:val="22"/>
          <w:u w:val="single"/>
        </w:rPr>
        <w:t>Answer:</w:t>
      </w:r>
    </w:p>
    <w:p w14:paraId="7655D136" w14:textId="77777777" w:rsidR="004B229F" w:rsidRDefault="00000000">
      <w:pPr>
        <w:spacing w:after="100"/>
        <w:ind w:left="200"/>
      </w:pPr>
      <w:r>
        <w:rPr>
          <w:sz w:val="22"/>
          <w:szCs w:val="22"/>
        </w:rPr>
        <w:t>By examining the binary's string table, parsing logic, and output/log file formats, the analyst can determine what categories of data the tool is designed to harvest. Likely categories include:</w:t>
      </w:r>
    </w:p>
    <w:p w14:paraId="5547EA98" w14:textId="77777777" w:rsidR="004B229F" w:rsidRDefault="00000000">
      <w:pPr>
        <w:pStyle w:val="ListParagraph"/>
        <w:numPr>
          <w:ilvl w:val="0"/>
          <w:numId w:val="1"/>
        </w:numPr>
        <w:spacing w:after="60"/>
        <w:ind w:left="400"/>
      </w:pPr>
      <w:r>
        <w:rPr>
          <w:sz w:val="22"/>
          <w:szCs w:val="22"/>
        </w:rPr>
        <w:t>Employee names, job titles, and organizational roles scraped from professional networking or company pages</w:t>
      </w:r>
    </w:p>
    <w:p w14:paraId="42FFAB4D" w14:textId="77777777" w:rsidR="004B229F" w:rsidRDefault="00000000">
      <w:pPr>
        <w:pStyle w:val="ListParagraph"/>
        <w:numPr>
          <w:ilvl w:val="0"/>
          <w:numId w:val="1"/>
        </w:numPr>
        <w:spacing w:after="60"/>
        <w:ind w:left="400"/>
      </w:pPr>
      <w:r>
        <w:rPr>
          <w:sz w:val="22"/>
          <w:szCs w:val="22"/>
        </w:rPr>
        <w:t>Email addresses, often derived by pattern-matching common corporate naming conventions (e.g., first.last@company.com)</w:t>
      </w:r>
    </w:p>
    <w:p w14:paraId="655B79E5" w14:textId="77777777" w:rsidR="004B229F" w:rsidRDefault="00000000">
      <w:pPr>
        <w:pStyle w:val="ListParagraph"/>
        <w:numPr>
          <w:ilvl w:val="0"/>
          <w:numId w:val="1"/>
        </w:numPr>
        <w:spacing w:after="60"/>
        <w:ind w:left="400"/>
      </w:pPr>
      <w:r>
        <w:rPr>
          <w:sz w:val="22"/>
          <w:szCs w:val="22"/>
        </w:rPr>
        <w:t>Technology and infrastructure details, such as web server types, CMS platforms, or software versions referenced in page metadata</w:t>
      </w:r>
    </w:p>
    <w:p w14:paraId="016026A1" w14:textId="77777777" w:rsidR="004B229F" w:rsidRDefault="00000000">
      <w:pPr>
        <w:pStyle w:val="ListParagraph"/>
        <w:numPr>
          <w:ilvl w:val="0"/>
          <w:numId w:val="1"/>
        </w:numPr>
        <w:spacing w:after="60"/>
        <w:ind w:left="400"/>
      </w:pPr>
      <w:r>
        <w:rPr>
          <w:sz w:val="22"/>
          <w:szCs w:val="22"/>
        </w:rPr>
        <w:t>Social media handles or profile links associated with the organization or its employees</w:t>
      </w:r>
    </w:p>
    <w:p w14:paraId="60B69932" w14:textId="77777777" w:rsidR="004B229F" w:rsidRDefault="00000000">
      <w:pPr>
        <w:spacing w:after="100"/>
        <w:ind w:left="200"/>
      </w:pPr>
      <w:r>
        <w:rPr>
          <w:sz w:val="22"/>
          <w:szCs w:val="22"/>
        </w:rPr>
        <w:t>Regular expressions embedded in the binary (visible in the strings output, e.g., email-matching patterns) are strong indicators of exactly which data fields the tool is built to extract.</w:t>
      </w:r>
    </w:p>
    <w:p w14:paraId="58200189" w14:textId="77777777" w:rsidR="004B229F" w:rsidRDefault="00000000">
      <w:pPr>
        <w:spacing w:before="200" w:after="80"/>
      </w:pPr>
      <w:r>
        <w:rPr>
          <w:b/>
          <w:bCs/>
          <w:color w:val="C00000"/>
          <w:sz w:val="23"/>
          <w:szCs w:val="23"/>
        </w:rPr>
        <w:t>Q2. Which external websites or services are accessed during execution?</w:t>
      </w:r>
    </w:p>
    <w:p w14:paraId="5EE7B910" w14:textId="77777777" w:rsidR="004B229F" w:rsidRDefault="00000000">
      <w:pPr>
        <w:spacing w:after="60"/>
      </w:pPr>
      <w:r>
        <w:rPr>
          <w:b/>
          <w:bCs/>
          <w:color w:val="375623"/>
          <w:sz w:val="22"/>
          <w:szCs w:val="22"/>
          <w:u w:val="single"/>
        </w:rPr>
        <w:t>Answer:</w:t>
      </w:r>
    </w:p>
    <w:p w14:paraId="7AB381E9" w14:textId="77777777" w:rsidR="004B229F" w:rsidRDefault="00000000">
      <w:pPr>
        <w:spacing w:after="100"/>
        <w:ind w:left="200"/>
      </w:pPr>
      <w:r>
        <w:rPr>
          <w:sz w:val="22"/>
          <w:szCs w:val="22"/>
        </w:rPr>
        <w:t>Dynamic analysis (running the sample in an isolated sandbox while capturing network traffic) reveals the external destinations it communicates with. This typically shows:</w:t>
      </w:r>
    </w:p>
    <w:p w14:paraId="538BC573" w14:textId="77777777" w:rsidR="004B229F" w:rsidRDefault="00000000">
      <w:pPr>
        <w:pStyle w:val="ListParagraph"/>
        <w:numPr>
          <w:ilvl w:val="0"/>
          <w:numId w:val="1"/>
        </w:numPr>
        <w:spacing w:after="60"/>
        <w:ind w:left="400"/>
      </w:pPr>
      <w:r>
        <w:rPr>
          <w:sz w:val="22"/>
          <w:szCs w:val="22"/>
        </w:rPr>
        <w:t>HTTP/HTTPS requests to search engines or their APIs, used to search for organization-related content</w:t>
      </w:r>
    </w:p>
    <w:p w14:paraId="3422A5B8" w14:textId="77777777" w:rsidR="004B229F" w:rsidRDefault="00000000">
      <w:pPr>
        <w:pStyle w:val="ListParagraph"/>
        <w:numPr>
          <w:ilvl w:val="0"/>
          <w:numId w:val="1"/>
        </w:numPr>
        <w:spacing w:after="60"/>
        <w:ind w:left="400"/>
      </w:pPr>
      <w:r>
        <w:rPr>
          <w:sz w:val="22"/>
          <w:szCs w:val="22"/>
        </w:rPr>
        <w:t>Requests to professional networking or social media sites to gather employee and organizational data</w:t>
      </w:r>
    </w:p>
    <w:p w14:paraId="303C4EA0" w14:textId="77777777" w:rsidR="004B229F" w:rsidRDefault="00000000">
      <w:pPr>
        <w:pStyle w:val="ListParagraph"/>
        <w:numPr>
          <w:ilvl w:val="0"/>
          <w:numId w:val="1"/>
        </w:numPr>
        <w:spacing w:after="60"/>
        <w:ind w:left="400"/>
      </w:pPr>
      <w:r>
        <w:rPr>
          <w:sz w:val="22"/>
          <w:szCs w:val="22"/>
        </w:rPr>
        <w:t>Connections to code repository platforms, which may expose configuration files, credentials, or internal documentation accidentally committed by developers</w:t>
      </w:r>
    </w:p>
    <w:p w14:paraId="14A10E3E" w14:textId="77777777" w:rsidR="004B229F" w:rsidRDefault="00000000">
      <w:pPr>
        <w:pStyle w:val="ListParagraph"/>
        <w:numPr>
          <w:ilvl w:val="0"/>
          <w:numId w:val="1"/>
        </w:numPr>
        <w:spacing w:after="60"/>
        <w:ind w:left="400"/>
      </w:pPr>
      <w:r>
        <w:rPr>
          <w:sz w:val="22"/>
          <w:szCs w:val="22"/>
        </w:rPr>
        <w:t>Possibly a command-and-control or data-exfiltration endpoint, if the tool transmits harvested data to a remote server rather than only storing it locally — identifiable by outbound connections to an unfamiliar IP or domain not related to legitimate OSINT sources</w:t>
      </w:r>
    </w:p>
    <w:p w14:paraId="01AC2A42" w14:textId="77777777" w:rsidR="004B229F" w:rsidRDefault="00000000">
      <w:pPr>
        <w:spacing w:after="100"/>
        <w:ind w:left="200"/>
      </w:pPr>
      <w:r>
        <w:rPr>
          <w:sz w:val="22"/>
          <w:szCs w:val="22"/>
        </w:rPr>
        <w:t>Cross-referencing the domains contacted during execution with the hardcoded URL strings found in static analysis confirms the full list of external services the tool relies on.</w:t>
      </w:r>
    </w:p>
    <w:p w14:paraId="44DDCF43" w14:textId="77777777" w:rsidR="004B229F" w:rsidRDefault="00000000">
      <w:pPr>
        <w:spacing w:before="200" w:after="80"/>
      </w:pPr>
      <w:r>
        <w:rPr>
          <w:b/>
          <w:bCs/>
          <w:color w:val="C00000"/>
          <w:sz w:val="23"/>
          <w:szCs w:val="23"/>
        </w:rPr>
        <w:t>Q3. How can the collected intelligence be misused by attackers?</w:t>
      </w:r>
    </w:p>
    <w:p w14:paraId="0C651A68" w14:textId="77777777" w:rsidR="004B229F" w:rsidRDefault="00000000">
      <w:pPr>
        <w:spacing w:after="60"/>
      </w:pPr>
      <w:r>
        <w:rPr>
          <w:b/>
          <w:bCs/>
          <w:color w:val="375623"/>
          <w:sz w:val="22"/>
          <w:szCs w:val="22"/>
          <w:u w:val="single"/>
        </w:rPr>
        <w:t>Answer:</w:t>
      </w:r>
    </w:p>
    <w:p w14:paraId="1DB2C2D4" w14:textId="77777777" w:rsidR="004B229F" w:rsidRDefault="00000000">
      <w:pPr>
        <w:spacing w:after="100"/>
        <w:ind w:left="200"/>
      </w:pPr>
      <w:r>
        <w:rPr>
          <w:sz w:val="22"/>
          <w:szCs w:val="22"/>
        </w:rPr>
        <w:t>Data gathered by a tool like IntelGather.exe can be leveraged for multiple attack vectors:</w:t>
      </w:r>
    </w:p>
    <w:p w14:paraId="6DE8F796" w14:textId="77777777" w:rsidR="004B229F" w:rsidRDefault="00000000">
      <w:pPr>
        <w:pStyle w:val="ListParagraph"/>
        <w:numPr>
          <w:ilvl w:val="0"/>
          <w:numId w:val="1"/>
        </w:numPr>
        <w:spacing w:after="60"/>
        <w:ind w:left="400"/>
      </w:pPr>
      <w:r>
        <w:rPr>
          <w:sz w:val="22"/>
          <w:szCs w:val="22"/>
        </w:rPr>
        <w:lastRenderedPageBreak/>
        <w:t>Spear phishing and business email compromise — accurate employee names, roles, and email addresses allow attackers to craft highly convincing, targeted phishing messages</w:t>
      </w:r>
    </w:p>
    <w:p w14:paraId="1D6F14A7" w14:textId="77777777" w:rsidR="004B229F" w:rsidRDefault="00000000">
      <w:pPr>
        <w:pStyle w:val="ListParagraph"/>
        <w:numPr>
          <w:ilvl w:val="0"/>
          <w:numId w:val="1"/>
        </w:numPr>
        <w:spacing w:after="60"/>
        <w:ind w:left="400"/>
      </w:pPr>
      <w:r>
        <w:rPr>
          <w:sz w:val="22"/>
          <w:szCs w:val="22"/>
        </w:rPr>
        <w:t>Social engineering and pretexting — knowledge of organizational structure and job titles helps an attacker impersonate colleagues or executives over phone or email</w:t>
      </w:r>
    </w:p>
    <w:p w14:paraId="49781885" w14:textId="77777777" w:rsidR="004B229F" w:rsidRDefault="00000000">
      <w:pPr>
        <w:pStyle w:val="ListParagraph"/>
        <w:numPr>
          <w:ilvl w:val="0"/>
          <w:numId w:val="1"/>
        </w:numPr>
        <w:spacing w:after="60"/>
        <w:ind w:left="400"/>
      </w:pPr>
      <w:r>
        <w:rPr>
          <w:sz w:val="22"/>
          <w:szCs w:val="22"/>
        </w:rPr>
        <w:t>Credential attacks — predictable email naming conventions can be combined with leaked password lists for credential-stuffing or password-spraying attacks</w:t>
      </w:r>
    </w:p>
    <w:p w14:paraId="1F517598" w14:textId="77777777" w:rsidR="004B229F" w:rsidRDefault="00000000">
      <w:pPr>
        <w:pStyle w:val="ListParagraph"/>
        <w:numPr>
          <w:ilvl w:val="0"/>
          <w:numId w:val="1"/>
        </w:numPr>
        <w:spacing w:after="60"/>
        <w:ind w:left="400"/>
      </w:pPr>
      <w:r>
        <w:rPr>
          <w:sz w:val="22"/>
          <w:szCs w:val="22"/>
        </w:rPr>
        <w:t>Technical exploitation — identified technologies and software versions can be cross-referenced against known vulnerability databases to plan a targeted technical attack</w:t>
      </w:r>
    </w:p>
    <w:p w14:paraId="13190271" w14:textId="77777777" w:rsidR="004B229F" w:rsidRDefault="00000000">
      <w:pPr>
        <w:spacing w:after="100"/>
        <w:ind w:left="200"/>
      </w:pPr>
      <w:r>
        <w:rPr>
          <w:sz w:val="22"/>
          <w:szCs w:val="22"/>
        </w:rPr>
        <w:t>Because this information looks legitimate and is easy to verify, it significantly increases the success rate of social-engineering and phishing campaigns compared to generic, untargeted attacks.</w:t>
      </w:r>
    </w:p>
    <w:p w14:paraId="417F61B2" w14:textId="77777777" w:rsidR="004B229F" w:rsidRDefault="00000000">
      <w:pPr>
        <w:shd w:val="clear" w:color="auto" w:fill="D9E2F3"/>
        <w:spacing w:before="300" w:after="100"/>
      </w:pPr>
      <w:r>
        <w:rPr>
          <w:b/>
          <w:bCs/>
          <w:color w:val="1F3864"/>
          <w:sz w:val="24"/>
          <w:szCs w:val="24"/>
        </w:rPr>
        <w:t>Task 4</w:t>
      </w:r>
    </w:p>
    <w:p w14:paraId="4ED3CFCA" w14:textId="77777777" w:rsidR="004B229F" w:rsidRDefault="00000000">
      <w:pPr>
        <w:spacing w:after="200"/>
      </w:pPr>
      <w:r>
        <w:rPr>
          <w:i/>
          <w:iCs/>
          <w:sz w:val="22"/>
          <w:szCs w:val="22"/>
        </w:rPr>
        <w:t>A suspicious program named MailCraft.exe is discovered on a compromised system. During execution, the application automatically creates convincing email messages that imitate legitimate organizations. Analysts suspect that the tool is used to perform phishing attacks against employees. Reverse engineer the executable to identify how the emails are generated and customized.</w:t>
      </w:r>
    </w:p>
    <w:p w14:paraId="2ED76854" w14:textId="77777777" w:rsidR="004B229F" w:rsidRDefault="00000000">
      <w:pPr>
        <w:spacing w:before="200" w:after="80"/>
      </w:pPr>
      <w:r>
        <w:rPr>
          <w:b/>
          <w:bCs/>
          <w:color w:val="C00000"/>
          <w:sz w:val="23"/>
          <w:szCs w:val="23"/>
        </w:rPr>
        <w:t>Q1. Which functions are responsible for generating phishing emails?</w:t>
      </w:r>
    </w:p>
    <w:p w14:paraId="18CA203B" w14:textId="77777777" w:rsidR="004B229F" w:rsidRDefault="00000000">
      <w:pPr>
        <w:spacing w:after="60"/>
      </w:pPr>
      <w:r>
        <w:rPr>
          <w:b/>
          <w:bCs/>
          <w:color w:val="375623"/>
          <w:sz w:val="22"/>
          <w:szCs w:val="22"/>
          <w:u w:val="single"/>
        </w:rPr>
        <w:t>Answer:</w:t>
      </w:r>
    </w:p>
    <w:p w14:paraId="1D433660" w14:textId="77777777" w:rsidR="004B229F" w:rsidRDefault="00000000">
      <w:pPr>
        <w:spacing w:after="100"/>
        <w:ind w:left="200"/>
      </w:pPr>
      <w:r>
        <w:rPr>
          <w:sz w:val="22"/>
          <w:szCs w:val="22"/>
        </w:rPr>
        <w:t>Static analysis of MailCraft.exe would focus on locating template-processing and email-composition logic. The responsible components typically include:</w:t>
      </w:r>
    </w:p>
    <w:p w14:paraId="3689CA88" w14:textId="77777777" w:rsidR="004B229F" w:rsidRDefault="00000000">
      <w:pPr>
        <w:pStyle w:val="ListParagraph"/>
        <w:numPr>
          <w:ilvl w:val="0"/>
          <w:numId w:val="1"/>
        </w:numPr>
        <w:spacing w:after="60"/>
        <w:ind w:left="400"/>
      </w:pPr>
      <w:r>
        <w:rPr>
          <w:sz w:val="22"/>
          <w:szCs w:val="22"/>
        </w:rPr>
        <w:t>A template-loading function that reads embedded or external HTML/text templates styled to resemble legitimate organizational communications (visible as resource sections or file-read operations in the binary)</w:t>
      </w:r>
    </w:p>
    <w:p w14:paraId="5F2B8C16" w14:textId="77777777" w:rsidR="004B229F" w:rsidRDefault="00000000">
      <w:pPr>
        <w:pStyle w:val="ListParagraph"/>
        <w:numPr>
          <w:ilvl w:val="0"/>
          <w:numId w:val="1"/>
        </w:numPr>
        <w:spacing w:after="60"/>
        <w:ind w:left="400"/>
      </w:pPr>
      <w:r>
        <w:rPr>
          <w:sz w:val="22"/>
          <w:szCs w:val="22"/>
        </w:rPr>
        <w:t>A string-substitution/formatting function that inserts variable data — such as a recipient's name, company, or a spoofed sender address — into placeholders within the template</w:t>
      </w:r>
    </w:p>
    <w:p w14:paraId="24AA092D" w14:textId="77777777" w:rsidR="004B229F" w:rsidRDefault="00000000">
      <w:pPr>
        <w:pStyle w:val="ListParagraph"/>
        <w:numPr>
          <w:ilvl w:val="0"/>
          <w:numId w:val="1"/>
        </w:numPr>
        <w:spacing w:after="60"/>
        <w:ind w:left="400"/>
      </w:pPr>
      <w:r>
        <w:rPr>
          <w:sz w:val="22"/>
          <w:szCs w:val="22"/>
        </w:rPr>
        <w:t>An SMTP-handling module that constructs and sends the crafted email, identifiable by calls to networking APIs on port 25/587 or by use of an embedded mail library</w:t>
      </w:r>
    </w:p>
    <w:p w14:paraId="2A2ECD61" w14:textId="77777777" w:rsidR="004B229F" w:rsidRDefault="00000000">
      <w:pPr>
        <w:spacing w:after="100"/>
        <w:ind w:left="200"/>
      </w:pPr>
      <w:r>
        <w:rPr>
          <w:sz w:val="22"/>
          <w:szCs w:val="22"/>
        </w:rPr>
        <w:t>Tracing the program's execution flow from where it accepts a target list (input file or hardcoded array) through to the outbound SMTP connection reveals the complete email-generation pipeline.</w:t>
      </w:r>
    </w:p>
    <w:p w14:paraId="6089C765" w14:textId="77777777" w:rsidR="004B229F" w:rsidRDefault="00000000">
      <w:pPr>
        <w:spacing w:before="200" w:after="80"/>
      </w:pPr>
      <w:r>
        <w:rPr>
          <w:b/>
          <w:bCs/>
          <w:color w:val="C00000"/>
          <w:sz w:val="23"/>
          <w:szCs w:val="23"/>
        </w:rPr>
        <w:t>Q2. What information is used to personalize the messages?</w:t>
      </w:r>
    </w:p>
    <w:p w14:paraId="20B360A2" w14:textId="77777777" w:rsidR="004B229F" w:rsidRDefault="00000000">
      <w:pPr>
        <w:spacing w:after="60"/>
      </w:pPr>
      <w:r>
        <w:rPr>
          <w:b/>
          <w:bCs/>
          <w:color w:val="375623"/>
          <w:sz w:val="22"/>
          <w:szCs w:val="22"/>
          <w:u w:val="single"/>
        </w:rPr>
        <w:t>Answer:</w:t>
      </w:r>
    </w:p>
    <w:p w14:paraId="1C8EF2C2" w14:textId="77777777" w:rsidR="004B229F" w:rsidRDefault="00000000">
      <w:pPr>
        <w:spacing w:after="100"/>
        <w:ind w:left="200"/>
      </w:pPr>
      <w:r>
        <w:rPr>
          <w:sz w:val="22"/>
          <w:szCs w:val="22"/>
        </w:rPr>
        <w:t>Examining the placeholder variables in the template strings and the data structures passed into the formatting function typically shows personalization based on:</w:t>
      </w:r>
    </w:p>
    <w:p w14:paraId="3303B007" w14:textId="77777777" w:rsidR="004B229F" w:rsidRDefault="00000000">
      <w:pPr>
        <w:pStyle w:val="ListParagraph"/>
        <w:numPr>
          <w:ilvl w:val="0"/>
          <w:numId w:val="1"/>
        </w:numPr>
        <w:spacing w:after="60"/>
        <w:ind w:left="400"/>
      </w:pPr>
      <w:r>
        <w:rPr>
          <w:sz w:val="22"/>
          <w:szCs w:val="22"/>
        </w:rPr>
        <w:t>Recipient's name and email address, likely pulled from a target list file or a prior reconnaissance/intelligence-gathering stage</w:t>
      </w:r>
    </w:p>
    <w:p w14:paraId="2F84D52F" w14:textId="77777777" w:rsidR="004B229F" w:rsidRDefault="00000000">
      <w:pPr>
        <w:pStyle w:val="ListParagraph"/>
        <w:numPr>
          <w:ilvl w:val="0"/>
          <w:numId w:val="1"/>
        </w:numPr>
        <w:spacing w:after="60"/>
        <w:ind w:left="400"/>
      </w:pPr>
      <w:r>
        <w:rPr>
          <w:sz w:val="22"/>
          <w:szCs w:val="22"/>
        </w:rPr>
        <w:t xml:space="preserve">Organization name and branding elements (logos, </w:t>
      </w:r>
      <w:proofErr w:type="spellStart"/>
      <w:r>
        <w:rPr>
          <w:sz w:val="22"/>
          <w:szCs w:val="22"/>
        </w:rPr>
        <w:t>color</w:t>
      </w:r>
      <w:proofErr w:type="spellEnd"/>
      <w:r>
        <w:rPr>
          <w:sz w:val="22"/>
          <w:szCs w:val="22"/>
        </w:rPr>
        <w:t xml:space="preserve"> schemes referenced in template resources) to imitate a trusted sender</w:t>
      </w:r>
    </w:p>
    <w:p w14:paraId="15F34158" w14:textId="77777777" w:rsidR="004B229F" w:rsidRDefault="00000000">
      <w:pPr>
        <w:pStyle w:val="ListParagraph"/>
        <w:numPr>
          <w:ilvl w:val="0"/>
          <w:numId w:val="1"/>
        </w:numPr>
        <w:spacing w:after="60"/>
        <w:ind w:left="400"/>
      </w:pPr>
      <w:r>
        <w:rPr>
          <w:sz w:val="22"/>
          <w:szCs w:val="22"/>
        </w:rPr>
        <w:t>Job title or department, used to tailor the pretext of the message (e.g., an HR or IT-themed email)</w:t>
      </w:r>
    </w:p>
    <w:p w14:paraId="301E9B92" w14:textId="77777777" w:rsidR="004B229F" w:rsidRDefault="00000000">
      <w:pPr>
        <w:pStyle w:val="ListParagraph"/>
        <w:numPr>
          <w:ilvl w:val="0"/>
          <w:numId w:val="1"/>
        </w:numPr>
        <w:spacing w:after="60"/>
        <w:ind w:left="400"/>
      </w:pPr>
      <w:r>
        <w:rPr>
          <w:sz w:val="22"/>
          <w:szCs w:val="22"/>
        </w:rPr>
        <w:t>A spoofed or look-alike sender address and subject line designed to appear legitimate and urgent</w:t>
      </w:r>
    </w:p>
    <w:p w14:paraId="2142F846" w14:textId="77777777" w:rsidR="004B229F" w:rsidRDefault="00000000">
      <w:pPr>
        <w:spacing w:after="100"/>
        <w:ind w:left="200"/>
      </w:pPr>
      <w:r>
        <w:rPr>
          <w:sz w:val="22"/>
          <w:szCs w:val="22"/>
        </w:rPr>
        <w:t>The more of these fields the binary supports, the more convincing and targeted (spear-phishing style) the generated emails are likely to be.</w:t>
      </w:r>
    </w:p>
    <w:p w14:paraId="213B4CCE" w14:textId="77777777" w:rsidR="004B229F" w:rsidRDefault="00000000">
      <w:pPr>
        <w:spacing w:before="200" w:after="80"/>
      </w:pPr>
      <w:r>
        <w:rPr>
          <w:b/>
          <w:bCs/>
          <w:color w:val="C00000"/>
          <w:sz w:val="23"/>
          <w:szCs w:val="23"/>
        </w:rPr>
        <w:t>Q3. How can the phishing functionality be prevented or removed?</w:t>
      </w:r>
    </w:p>
    <w:p w14:paraId="7AFE373A" w14:textId="77777777" w:rsidR="004B229F" w:rsidRDefault="00000000">
      <w:pPr>
        <w:spacing w:after="60"/>
      </w:pPr>
      <w:r>
        <w:rPr>
          <w:b/>
          <w:bCs/>
          <w:color w:val="375623"/>
          <w:sz w:val="22"/>
          <w:szCs w:val="22"/>
          <w:u w:val="single"/>
        </w:rPr>
        <w:t>Answer:</w:t>
      </w:r>
    </w:p>
    <w:p w14:paraId="05999559" w14:textId="77777777" w:rsidR="004B229F" w:rsidRDefault="00000000">
      <w:pPr>
        <w:spacing w:after="100"/>
        <w:ind w:left="200"/>
      </w:pPr>
      <w:r>
        <w:rPr>
          <w:sz w:val="22"/>
          <w:szCs w:val="22"/>
        </w:rPr>
        <w:t>Once the email-generation and sending functions are identified, mitigation can occur at both the host and network level:</w:t>
      </w:r>
    </w:p>
    <w:p w14:paraId="700332BF" w14:textId="77777777" w:rsidR="004B229F" w:rsidRDefault="00000000">
      <w:pPr>
        <w:pStyle w:val="ListParagraph"/>
        <w:numPr>
          <w:ilvl w:val="0"/>
          <w:numId w:val="1"/>
        </w:numPr>
        <w:spacing w:after="60"/>
        <w:ind w:left="400"/>
      </w:pPr>
      <w:r>
        <w:rPr>
          <w:sz w:val="22"/>
          <w:szCs w:val="22"/>
        </w:rPr>
        <w:t>Remove or quarantine the executable and any associated template/resource files from the compromised system, then verify no scheduled task or persistence mechanism (registry run key, service) restarts it</w:t>
      </w:r>
    </w:p>
    <w:p w14:paraId="45BECB2A" w14:textId="77777777" w:rsidR="004B229F" w:rsidRDefault="00000000">
      <w:pPr>
        <w:pStyle w:val="ListParagraph"/>
        <w:numPr>
          <w:ilvl w:val="0"/>
          <w:numId w:val="1"/>
        </w:numPr>
        <w:spacing w:after="60"/>
        <w:ind w:left="400"/>
      </w:pPr>
      <w:r>
        <w:rPr>
          <w:sz w:val="22"/>
          <w:szCs w:val="22"/>
        </w:rPr>
        <w:t>Block the outbound SMTP connections or the identified mail-relay endpoints at the network firewall to stop any residual phishing traffic before removal is complete</w:t>
      </w:r>
    </w:p>
    <w:p w14:paraId="4384D4D0" w14:textId="77777777" w:rsidR="004B229F" w:rsidRDefault="00000000">
      <w:pPr>
        <w:pStyle w:val="ListParagraph"/>
        <w:numPr>
          <w:ilvl w:val="0"/>
          <w:numId w:val="1"/>
        </w:numPr>
        <w:spacing w:after="60"/>
        <w:ind w:left="400"/>
      </w:pPr>
      <w:r>
        <w:rPr>
          <w:sz w:val="22"/>
          <w:szCs w:val="22"/>
        </w:rPr>
        <w:lastRenderedPageBreak/>
        <w:t>Patch or disable the SMTP-sending function via binary patching/hooking in a lab environment, if the sample needs to be kept for further controlled analysis instead of immediate deletion</w:t>
      </w:r>
    </w:p>
    <w:p w14:paraId="59E4FF23" w14:textId="77777777" w:rsidR="004B229F" w:rsidRDefault="00000000">
      <w:pPr>
        <w:pStyle w:val="ListParagraph"/>
        <w:numPr>
          <w:ilvl w:val="0"/>
          <w:numId w:val="1"/>
        </w:numPr>
        <w:spacing w:after="60"/>
        <w:ind w:left="400"/>
      </w:pPr>
      <w:r>
        <w:rPr>
          <w:sz w:val="22"/>
          <w:szCs w:val="22"/>
        </w:rPr>
        <w:t>Deploy email-security controls such as SPF, DKIM, and DMARC on the organization's domain to prevent successful spoofing of the organization's own address, and alert employees who may have received these emails</w:t>
      </w:r>
    </w:p>
    <w:p w14:paraId="411CB7CF" w14:textId="77777777" w:rsidR="004B229F" w:rsidRDefault="00000000">
      <w:pPr>
        <w:spacing w:after="100"/>
        <w:ind w:left="200"/>
      </w:pPr>
      <w:r>
        <w:rPr>
          <w:sz w:val="22"/>
          <w:szCs w:val="22"/>
        </w:rPr>
        <w:t>A full incident response should also check whether the tool exfiltrated the target list itself, since that data (employee emails) may need separate protective notification.</w:t>
      </w:r>
    </w:p>
    <w:p w14:paraId="05C44EBA" w14:textId="77777777" w:rsidR="004B229F" w:rsidRDefault="00000000">
      <w:pPr>
        <w:shd w:val="clear" w:color="auto" w:fill="D9E2F3"/>
        <w:spacing w:before="300" w:after="100"/>
      </w:pPr>
      <w:r>
        <w:rPr>
          <w:b/>
          <w:bCs/>
          <w:color w:val="1F3864"/>
          <w:sz w:val="24"/>
          <w:szCs w:val="24"/>
        </w:rPr>
        <w:t>Task 5</w:t>
      </w:r>
    </w:p>
    <w:p w14:paraId="570CF6D5" w14:textId="77777777" w:rsidR="004B229F" w:rsidRDefault="00000000">
      <w:pPr>
        <w:spacing w:after="200"/>
      </w:pPr>
      <w:r>
        <w:rPr>
          <w:i/>
          <w:iCs/>
          <w:sz w:val="22"/>
          <w:szCs w:val="22"/>
        </w:rPr>
        <w:t xml:space="preserve">A binary file named PortalClone.exe imitates the login page of a popular online service. Users who enter their credentials unknowingly submit their information to the application. The security team needs to understand how the credentials are captured, stored, and transmitted. Reverse engineer the program to identify its malicious </w:t>
      </w:r>
      <w:proofErr w:type="spellStart"/>
      <w:r>
        <w:rPr>
          <w:i/>
          <w:iCs/>
          <w:sz w:val="22"/>
          <w:szCs w:val="22"/>
        </w:rPr>
        <w:t>behavior</w:t>
      </w:r>
      <w:proofErr w:type="spellEnd"/>
      <w:r>
        <w:rPr>
          <w:i/>
          <w:iCs/>
          <w:sz w:val="22"/>
          <w:szCs w:val="22"/>
        </w:rPr>
        <w:t>.</w:t>
      </w:r>
    </w:p>
    <w:p w14:paraId="27662B3D" w14:textId="77777777" w:rsidR="004B229F" w:rsidRDefault="00000000">
      <w:pPr>
        <w:spacing w:before="200" w:after="80"/>
      </w:pPr>
      <w:r>
        <w:rPr>
          <w:b/>
          <w:bCs/>
          <w:color w:val="C00000"/>
          <w:sz w:val="23"/>
          <w:szCs w:val="23"/>
        </w:rPr>
        <w:t>Q1. How does the application capture usernames and passwords?</w:t>
      </w:r>
    </w:p>
    <w:p w14:paraId="15957F2E" w14:textId="77777777" w:rsidR="004B229F" w:rsidRDefault="00000000">
      <w:pPr>
        <w:spacing w:after="60"/>
      </w:pPr>
      <w:r>
        <w:rPr>
          <w:b/>
          <w:bCs/>
          <w:color w:val="375623"/>
          <w:sz w:val="22"/>
          <w:szCs w:val="22"/>
          <w:u w:val="single"/>
        </w:rPr>
        <w:t>Answer:</w:t>
      </w:r>
    </w:p>
    <w:p w14:paraId="233CCE25" w14:textId="77777777" w:rsidR="004B229F" w:rsidRDefault="00000000">
      <w:pPr>
        <w:spacing w:after="100"/>
        <w:ind w:left="200"/>
      </w:pPr>
      <w:r>
        <w:rPr>
          <w:sz w:val="22"/>
          <w:szCs w:val="22"/>
        </w:rPr>
        <w:t xml:space="preserve">Analysis of </w:t>
      </w:r>
      <w:proofErr w:type="spellStart"/>
      <w:r>
        <w:rPr>
          <w:sz w:val="22"/>
          <w:szCs w:val="22"/>
        </w:rPr>
        <w:t>PortalClone.exe's</w:t>
      </w:r>
      <w:proofErr w:type="spellEnd"/>
      <w:r>
        <w:rPr>
          <w:sz w:val="22"/>
          <w:szCs w:val="22"/>
        </w:rPr>
        <w:t xml:space="preserve"> UI-handling and event-processing code typically reveals a straightforward credential-capture mechanism:</w:t>
      </w:r>
    </w:p>
    <w:p w14:paraId="6EBD3163" w14:textId="77777777" w:rsidR="004B229F" w:rsidRDefault="00000000">
      <w:pPr>
        <w:pStyle w:val="ListParagraph"/>
        <w:numPr>
          <w:ilvl w:val="0"/>
          <w:numId w:val="1"/>
        </w:numPr>
        <w:spacing w:after="60"/>
        <w:ind w:left="400"/>
      </w:pPr>
      <w:r>
        <w:rPr>
          <w:sz w:val="22"/>
          <w:szCs w:val="22"/>
        </w:rPr>
        <w:t>The cloned login form contains input fields whose 'submit' or 'login' button event handler is wired not to a legitimate authentication server, but to a local routine that simply reads the text entered into the username and password fields</w:t>
      </w:r>
    </w:p>
    <w:p w14:paraId="6B1C9BE6" w14:textId="77777777" w:rsidR="004B229F" w:rsidRDefault="00000000">
      <w:pPr>
        <w:pStyle w:val="ListParagraph"/>
        <w:numPr>
          <w:ilvl w:val="0"/>
          <w:numId w:val="1"/>
        </w:numPr>
        <w:spacing w:after="60"/>
        <w:ind w:left="400"/>
      </w:pPr>
      <w:r>
        <w:rPr>
          <w:sz w:val="22"/>
          <w:szCs w:val="22"/>
        </w:rPr>
        <w:t xml:space="preserve">This routine typically calls GUI text-retrieval functions (e.g., </w:t>
      </w:r>
      <w:proofErr w:type="spellStart"/>
      <w:proofErr w:type="gramStart"/>
      <w:r>
        <w:rPr>
          <w:sz w:val="22"/>
          <w:szCs w:val="22"/>
        </w:rPr>
        <w:t>GetWindowText</w:t>
      </w:r>
      <w:proofErr w:type="spellEnd"/>
      <w:r>
        <w:rPr>
          <w:sz w:val="22"/>
          <w:szCs w:val="22"/>
        </w:rPr>
        <w:t>(</w:t>
      </w:r>
      <w:proofErr w:type="gramEnd"/>
      <w:r>
        <w:rPr>
          <w:sz w:val="22"/>
          <w:szCs w:val="22"/>
        </w:rPr>
        <w:t>) on Windows) to pull the raw values directly from the input controls the moment the user clicks submit</w:t>
      </w:r>
    </w:p>
    <w:p w14:paraId="4395A6FD" w14:textId="77777777" w:rsidR="004B229F" w:rsidRDefault="00000000">
      <w:pPr>
        <w:pStyle w:val="ListParagraph"/>
        <w:numPr>
          <w:ilvl w:val="0"/>
          <w:numId w:val="1"/>
        </w:numPr>
        <w:spacing w:after="60"/>
        <w:ind w:left="400"/>
      </w:pPr>
      <w:r>
        <w:rPr>
          <w:sz w:val="22"/>
          <w:szCs w:val="22"/>
        </w:rPr>
        <w:t xml:space="preserve">Some variants may also implement keystroke logging as a fallback/redundant capture method, identifiable by hooks such as </w:t>
      </w:r>
      <w:proofErr w:type="spellStart"/>
      <w:proofErr w:type="gramStart"/>
      <w:r>
        <w:rPr>
          <w:sz w:val="22"/>
          <w:szCs w:val="22"/>
        </w:rPr>
        <w:t>SetWindowsHookEx</w:t>
      </w:r>
      <w:proofErr w:type="spellEnd"/>
      <w:r>
        <w:rPr>
          <w:sz w:val="22"/>
          <w:szCs w:val="22"/>
        </w:rPr>
        <w:t>(</w:t>
      </w:r>
      <w:proofErr w:type="gramEnd"/>
      <w:r>
        <w:rPr>
          <w:sz w:val="22"/>
          <w:szCs w:val="22"/>
        </w:rPr>
        <w:t>) with a keyboard hook type</w:t>
      </w:r>
    </w:p>
    <w:p w14:paraId="5F34090E" w14:textId="77777777" w:rsidR="004B229F" w:rsidRDefault="00000000">
      <w:pPr>
        <w:spacing w:after="100"/>
        <w:ind w:left="200"/>
      </w:pPr>
      <w:r>
        <w:rPr>
          <w:sz w:val="22"/>
          <w:szCs w:val="22"/>
        </w:rPr>
        <w:t>Because the interface visually matches the legitimate service, the victim has no indication that the 'login' action is not actually authenticating anywhere — it is only recording their input locally.</w:t>
      </w:r>
    </w:p>
    <w:p w14:paraId="6A4C536C" w14:textId="77777777" w:rsidR="004B229F" w:rsidRDefault="00000000">
      <w:pPr>
        <w:spacing w:before="200" w:after="80"/>
      </w:pPr>
      <w:r>
        <w:rPr>
          <w:b/>
          <w:bCs/>
          <w:color w:val="C00000"/>
          <w:sz w:val="23"/>
          <w:szCs w:val="23"/>
        </w:rPr>
        <w:t>Q2. Where are the captured credentials stored or transmitted?</w:t>
      </w:r>
    </w:p>
    <w:p w14:paraId="0D29414F" w14:textId="77777777" w:rsidR="004B229F" w:rsidRDefault="00000000">
      <w:pPr>
        <w:spacing w:after="60"/>
      </w:pPr>
      <w:r>
        <w:rPr>
          <w:b/>
          <w:bCs/>
          <w:color w:val="375623"/>
          <w:sz w:val="22"/>
          <w:szCs w:val="22"/>
          <w:u w:val="single"/>
        </w:rPr>
        <w:t>Answer:</w:t>
      </w:r>
    </w:p>
    <w:p w14:paraId="02BB3CD5" w14:textId="77777777" w:rsidR="004B229F" w:rsidRDefault="00000000">
      <w:pPr>
        <w:spacing w:after="100"/>
        <w:ind w:left="200"/>
      </w:pPr>
      <w:r>
        <w:rPr>
          <w:sz w:val="22"/>
          <w:szCs w:val="22"/>
        </w:rPr>
        <w:t>Tracing what happens to the captured strings after the capture routine reveals the exfiltration path, which commonly falls into one or more of these patterns:</w:t>
      </w:r>
    </w:p>
    <w:p w14:paraId="641975A4" w14:textId="77777777" w:rsidR="004B229F" w:rsidRDefault="00000000">
      <w:pPr>
        <w:pStyle w:val="ListParagraph"/>
        <w:numPr>
          <w:ilvl w:val="0"/>
          <w:numId w:val="1"/>
        </w:numPr>
        <w:spacing w:after="60"/>
        <w:ind w:left="400"/>
      </w:pPr>
      <w:r>
        <w:rPr>
          <w:sz w:val="22"/>
          <w:szCs w:val="22"/>
        </w:rPr>
        <w:t>Local storage — credentials written to a hidden local file or the Windows registry, to be manually retrieved later or picked up by a secondary component</w:t>
      </w:r>
    </w:p>
    <w:p w14:paraId="3FC3129C" w14:textId="77777777" w:rsidR="004B229F" w:rsidRDefault="00000000">
      <w:pPr>
        <w:pStyle w:val="ListParagraph"/>
        <w:numPr>
          <w:ilvl w:val="0"/>
          <w:numId w:val="1"/>
        </w:numPr>
        <w:spacing w:after="60"/>
        <w:ind w:left="400"/>
      </w:pPr>
      <w:r>
        <w:rPr>
          <w:sz w:val="22"/>
          <w:szCs w:val="22"/>
        </w:rPr>
        <w:t>Network transmission — an outbound HTTP/HTTPS POST request or raw socket connection sending the captured data to a remote server or webhook endpoint, identifiable through network-monitoring during dynamic analysis</w:t>
      </w:r>
    </w:p>
    <w:p w14:paraId="39ADC915" w14:textId="77777777" w:rsidR="004B229F" w:rsidRDefault="00000000">
      <w:pPr>
        <w:pStyle w:val="ListParagraph"/>
        <w:numPr>
          <w:ilvl w:val="0"/>
          <w:numId w:val="1"/>
        </w:numPr>
        <w:spacing w:after="60"/>
        <w:ind w:left="400"/>
      </w:pPr>
      <w:r>
        <w:rPr>
          <w:sz w:val="22"/>
          <w:szCs w:val="22"/>
        </w:rPr>
        <w:t>Email exfiltration — some credential harvesters use SMTP to email the captured data directly to an attacker-controlled address</w:t>
      </w:r>
    </w:p>
    <w:p w14:paraId="5B07FF5F" w14:textId="77777777" w:rsidR="004B229F" w:rsidRDefault="00000000">
      <w:pPr>
        <w:spacing w:after="100"/>
        <w:ind w:left="200"/>
      </w:pPr>
      <w:r>
        <w:rPr>
          <w:sz w:val="22"/>
          <w:szCs w:val="22"/>
        </w:rPr>
        <w:t>Capturing the tool's traffic in a sandbox (with Wireshark or a proxy tool like Fiddler/Burp) immediately after a test 'login' attempt confirms the exact destination and protocol used for exfiltration.</w:t>
      </w:r>
    </w:p>
    <w:p w14:paraId="5CDCCA0F" w14:textId="77777777" w:rsidR="004B229F" w:rsidRDefault="00000000">
      <w:pPr>
        <w:spacing w:before="200" w:after="80"/>
      </w:pPr>
      <w:r>
        <w:rPr>
          <w:b/>
          <w:bCs/>
          <w:color w:val="C00000"/>
          <w:sz w:val="23"/>
          <w:szCs w:val="23"/>
        </w:rPr>
        <w:t>Q3. What security risks arise from the use of such applications?</w:t>
      </w:r>
    </w:p>
    <w:p w14:paraId="1D408688" w14:textId="77777777" w:rsidR="004B229F" w:rsidRDefault="00000000">
      <w:pPr>
        <w:spacing w:after="60"/>
      </w:pPr>
      <w:r>
        <w:rPr>
          <w:b/>
          <w:bCs/>
          <w:color w:val="375623"/>
          <w:sz w:val="22"/>
          <w:szCs w:val="22"/>
          <w:u w:val="single"/>
        </w:rPr>
        <w:t>Answer:</w:t>
      </w:r>
    </w:p>
    <w:p w14:paraId="4F75C428" w14:textId="77777777" w:rsidR="004B229F" w:rsidRDefault="00000000">
      <w:pPr>
        <w:spacing w:after="100"/>
        <w:ind w:left="200"/>
      </w:pPr>
      <w:r>
        <w:rPr>
          <w:sz w:val="22"/>
          <w:szCs w:val="22"/>
        </w:rPr>
        <w:t>Credential-harvesting clone applications like PortalClone.exe pose serious risks, including:</w:t>
      </w:r>
    </w:p>
    <w:p w14:paraId="73F30792" w14:textId="77777777" w:rsidR="004B229F" w:rsidRDefault="00000000">
      <w:pPr>
        <w:pStyle w:val="ListParagraph"/>
        <w:numPr>
          <w:ilvl w:val="0"/>
          <w:numId w:val="1"/>
        </w:numPr>
        <w:spacing w:after="60"/>
        <w:ind w:left="400"/>
      </w:pPr>
      <w:r>
        <w:rPr>
          <w:sz w:val="22"/>
          <w:szCs w:val="22"/>
        </w:rPr>
        <w:t>Account compromise — captured usernames and passwords give attackers direct access to the victim's real account on the legitimate service being imitated</w:t>
      </w:r>
    </w:p>
    <w:p w14:paraId="4D767276" w14:textId="77777777" w:rsidR="004B229F" w:rsidRDefault="00000000">
      <w:pPr>
        <w:pStyle w:val="ListParagraph"/>
        <w:numPr>
          <w:ilvl w:val="0"/>
          <w:numId w:val="1"/>
        </w:numPr>
        <w:spacing w:after="60"/>
        <w:ind w:left="400"/>
      </w:pPr>
      <w:r>
        <w:rPr>
          <w:sz w:val="22"/>
          <w:szCs w:val="22"/>
        </w:rPr>
        <w:t>Credential reuse exploitation — since many users reuse passwords across services, a single captured credential pair can enable attacks against multiple unrelated accounts and systems</w:t>
      </w:r>
    </w:p>
    <w:p w14:paraId="5411ED9C" w14:textId="77777777" w:rsidR="004B229F" w:rsidRDefault="00000000">
      <w:pPr>
        <w:pStyle w:val="ListParagraph"/>
        <w:numPr>
          <w:ilvl w:val="0"/>
          <w:numId w:val="1"/>
        </w:numPr>
        <w:spacing w:after="60"/>
        <w:ind w:left="400"/>
      </w:pPr>
      <w:r>
        <w:rPr>
          <w:sz w:val="22"/>
          <w:szCs w:val="22"/>
        </w:rPr>
        <w:t>Further network intrusion — if the cloned login mimics a corporate portal (e.g., VPN, email, or SSO page), captured credentials can give attackers a direct foothold into the organization's internal network</w:t>
      </w:r>
    </w:p>
    <w:p w14:paraId="4ED56438" w14:textId="77777777" w:rsidR="004B229F" w:rsidRDefault="00000000">
      <w:pPr>
        <w:pStyle w:val="ListParagraph"/>
        <w:numPr>
          <w:ilvl w:val="0"/>
          <w:numId w:val="1"/>
        </w:numPr>
        <w:spacing w:after="60"/>
        <w:ind w:left="400"/>
      </w:pPr>
      <w:r>
        <w:rPr>
          <w:sz w:val="22"/>
          <w:szCs w:val="22"/>
        </w:rPr>
        <w:t>Erosion of user trust — victims may not realize their credentials were stolen until unauthorized activity occurs, delaying detection and incident response</w:t>
      </w:r>
    </w:p>
    <w:p w14:paraId="6B729D6B" w14:textId="77777777" w:rsidR="004B229F" w:rsidRDefault="00000000">
      <w:pPr>
        <w:spacing w:after="100"/>
        <w:ind w:left="200"/>
      </w:pPr>
      <w:r>
        <w:rPr>
          <w:sz w:val="22"/>
          <w:szCs w:val="22"/>
        </w:rPr>
        <w:lastRenderedPageBreak/>
        <w:t xml:space="preserve">Because the attack relies purely on visual deception rather than exploiting a software vulnerability, the most effective </w:t>
      </w:r>
      <w:proofErr w:type="spellStart"/>
      <w:r>
        <w:rPr>
          <w:sz w:val="22"/>
          <w:szCs w:val="22"/>
        </w:rPr>
        <w:t>defenses</w:t>
      </w:r>
      <w:proofErr w:type="spellEnd"/>
      <w:r>
        <w:rPr>
          <w:sz w:val="22"/>
          <w:szCs w:val="22"/>
        </w:rPr>
        <w:t xml:space="preserve"> are user awareness training, verifying URLs/certificates before entering credentials, and enforcing multi-factor authentication so a captured password alone is insufficient to compromise the account.</w:t>
      </w:r>
    </w:p>
    <w:p w14:paraId="270E1359" w14:textId="77777777" w:rsidR="004B229F" w:rsidRDefault="00000000">
      <w:pPr>
        <w:spacing w:before="300" w:after="100"/>
      </w:pPr>
      <w:r>
        <w:rPr>
          <w:b/>
          <w:bCs/>
          <w:sz w:val="24"/>
          <w:szCs w:val="24"/>
        </w:rPr>
        <w:t>Code of Conduct:</w:t>
      </w:r>
    </w:p>
    <w:p w14:paraId="62091260" w14:textId="3E63129E" w:rsidR="004B229F" w:rsidRDefault="00C10B5F">
      <w:pPr>
        <w:spacing w:after="100"/>
      </w:pPr>
      <w:r w:rsidRPr="00C10B5F">
        <w:rPr>
          <w:b/>
          <w:bCs/>
          <w:i/>
          <w:iCs/>
          <w:sz w:val="21"/>
          <w:szCs w:val="21"/>
        </w:rPr>
        <w:drawing>
          <wp:anchor distT="0" distB="0" distL="114300" distR="114300" simplePos="0" relativeHeight="251658240" behindDoc="1" locked="0" layoutInCell="1" allowOverlap="1" wp14:anchorId="3A17C0B6" wp14:editId="79CDFF7A">
            <wp:simplePos x="0" y="0"/>
            <wp:positionH relativeFrom="column">
              <wp:posOffset>1552258</wp:posOffset>
            </wp:positionH>
            <wp:positionV relativeFrom="paragraph">
              <wp:posOffset>331470</wp:posOffset>
            </wp:positionV>
            <wp:extent cx="1104900" cy="333375"/>
            <wp:effectExtent l="0" t="0" r="0" b="9525"/>
            <wp:wrapTight wrapText="bothSides">
              <wp:wrapPolygon edited="0">
                <wp:start x="0" y="0"/>
                <wp:lineTo x="0" y="20983"/>
                <wp:lineTo x="21228" y="20983"/>
                <wp:lineTo x="21228" y="0"/>
                <wp:lineTo x="0" y="0"/>
              </wp:wrapPolygon>
            </wp:wrapTight>
            <wp:docPr id="111457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826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04900" cy="333375"/>
                    </a:xfrm>
                    <a:prstGeom prst="rect">
                      <a:avLst/>
                    </a:prstGeom>
                  </pic:spPr>
                </pic:pic>
              </a:graphicData>
            </a:graphic>
            <wp14:sizeRelH relativeFrom="margin">
              <wp14:pctWidth>0</wp14:pctWidth>
            </wp14:sizeRelH>
            <wp14:sizeRelV relativeFrom="margin">
              <wp14:pctHeight>0</wp14:pctHeight>
            </wp14:sizeRelV>
          </wp:anchor>
        </w:drawing>
      </w:r>
      <w:r w:rsidR="00000000">
        <w:rPr>
          <w:i/>
          <w:iCs/>
          <w:sz w:val="21"/>
          <w:szCs w:val="21"/>
        </w:rPr>
        <w:t>I (</w:t>
      </w:r>
      <w:r>
        <w:rPr>
          <w:i/>
          <w:iCs/>
          <w:sz w:val="21"/>
          <w:szCs w:val="21"/>
        </w:rPr>
        <w:t xml:space="preserve">k. </w:t>
      </w:r>
      <w:proofErr w:type="spellStart"/>
      <w:r>
        <w:rPr>
          <w:i/>
          <w:iCs/>
          <w:sz w:val="21"/>
          <w:szCs w:val="21"/>
        </w:rPr>
        <w:t>sai</w:t>
      </w:r>
      <w:proofErr w:type="spellEnd"/>
      <w:r>
        <w:rPr>
          <w:i/>
          <w:iCs/>
          <w:sz w:val="21"/>
          <w:szCs w:val="21"/>
        </w:rPr>
        <w:t xml:space="preserve"> </w:t>
      </w:r>
      <w:proofErr w:type="spellStart"/>
      <w:proofErr w:type="gramStart"/>
      <w:r>
        <w:rPr>
          <w:i/>
          <w:iCs/>
          <w:sz w:val="21"/>
          <w:szCs w:val="21"/>
        </w:rPr>
        <w:t>kumar</w:t>
      </w:r>
      <w:proofErr w:type="spellEnd"/>
      <w:r>
        <w:rPr>
          <w:i/>
          <w:iCs/>
          <w:sz w:val="21"/>
          <w:szCs w:val="21"/>
        </w:rPr>
        <w:t>(</w:t>
      </w:r>
      <w:proofErr w:type="gramEnd"/>
      <w:r>
        <w:rPr>
          <w:i/>
          <w:iCs/>
          <w:sz w:val="21"/>
          <w:szCs w:val="21"/>
        </w:rPr>
        <w:t>192372080)</w:t>
      </w:r>
      <w:r w:rsidR="00000000">
        <w:rPr>
          <w:i/>
          <w:iCs/>
          <w:sz w:val="21"/>
          <w:szCs w:val="21"/>
        </w:rPr>
        <w:t>) certify that this submission is my original work and that I have adhered to the guidelines specified for this assessment. I understand that any violation of academic integrity rules will result in disciplinary action.</w:t>
      </w:r>
    </w:p>
    <w:p w14:paraId="1112CCF0" w14:textId="1776A9F6" w:rsidR="004B229F" w:rsidRDefault="00000000">
      <w:pPr>
        <w:spacing w:after="300"/>
      </w:pPr>
      <w:r>
        <w:rPr>
          <w:b/>
          <w:bCs/>
          <w:i/>
          <w:iCs/>
          <w:sz w:val="21"/>
          <w:szCs w:val="21"/>
        </w:rPr>
        <w:t xml:space="preserve">Signature of the student: </w:t>
      </w:r>
    </w:p>
    <w:p w14:paraId="194CC16C" w14:textId="19B78DC2" w:rsidR="004B229F" w:rsidRDefault="00000000">
      <w:pPr>
        <w:spacing w:before="200" w:after="150"/>
      </w:pPr>
      <w:r>
        <w:rPr>
          <w:b/>
          <w:bCs/>
          <w:sz w:val="24"/>
          <w:szCs w:val="24"/>
        </w:rPr>
        <w:t>RUBRICS FOR CALCULATION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660"/>
        <w:gridCol w:w="1660"/>
        <w:gridCol w:w="1660"/>
        <w:gridCol w:w="1660"/>
      </w:tblGrid>
      <w:tr w:rsidR="004B229F" w14:paraId="2741A6BC" w14:textId="77777777">
        <w:tblPrEx>
          <w:tblCellMar>
            <w:top w:w="0" w:type="dxa"/>
            <w:bottom w:w="0" w:type="dxa"/>
          </w:tblCellMar>
        </w:tblPrEx>
        <w:tc>
          <w:tcPr>
            <w:tcW w:w="2400" w:type="dxa"/>
            <w:shd w:val="clear" w:color="auto" w:fill="1F4E79"/>
            <w:tcMar>
              <w:top w:w="60" w:type="dxa"/>
              <w:left w:w="80" w:type="dxa"/>
              <w:bottom w:w="60" w:type="dxa"/>
              <w:right w:w="80" w:type="dxa"/>
            </w:tcMar>
            <w:vAlign w:val="center"/>
          </w:tcPr>
          <w:p w14:paraId="30A5027C" w14:textId="77777777" w:rsidR="004B229F" w:rsidRDefault="00000000">
            <w:r>
              <w:rPr>
                <w:b/>
                <w:bCs/>
                <w:color w:val="FFFFFF"/>
                <w:sz w:val="18"/>
                <w:szCs w:val="18"/>
              </w:rPr>
              <w:t>Criteria</w:t>
            </w:r>
          </w:p>
        </w:tc>
        <w:tc>
          <w:tcPr>
            <w:tcW w:w="1560" w:type="dxa"/>
            <w:shd w:val="clear" w:color="auto" w:fill="1F4E79"/>
            <w:tcMar>
              <w:top w:w="60" w:type="dxa"/>
              <w:left w:w="80" w:type="dxa"/>
              <w:bottom w:w="60" w:type="dxa"/>
              <w:right w:w="80" w:type="dxa"/>
            </w:tcMar>
            <w:vAlign w:val="center"/>
          </w:tcPr>
          <w:p w14:paraId="455D1601" w14:textId="77777777" w:rsidR="004B229F" w:rsidRDefault="00000000">
            <w:r>
              <w:rPr>
                <w:b/>
                <w:bCs/>
                <w:color w:val="FFFFFF"/>
                <w:sz w:val="18"/>
                <w:szCs w:val="18"/>
              </w:rPr>
              <w:t>Weightage</w:t>
            </w:r>
          </w:p>
        </w:tc>
        <w:tc>
          <w:tcPr>
            <w:tcW w:w="1660" w:type="dxa"/>
            <w:shd w:val="clear" w:color="auto" w:fill="1F4E79"/>
            <w:tcMar>
              <w:top w:w="60" w:type="dxa"/>
              <w:left w:w="80" w:type="dxa"/>
              <w:bottom w:w="60" w:type="dxa"/>
              <w:right w:w="80" w:type="dxa"/>
            </w:tcMar>
            <w:vAlign w:val="center"/>
          </w:tcPr>
          <w:p w14:paraId="1F21FEBB" w14:textId="77777777" w:rsidR="004B229F" w:rsidRDefault="00000000">
            <w:r>
              <w:rPr>
                <w:b/>
                <w:bCs/>
                <w:color w:val="FFFFFF"/>
                <w:sz w:val="18"/>
                <w:szCs w:val="18"/>
              </w:rPr>
              <w:t>Level 4 – Exemplary</w:t>
            </w:r>
          </w:p>
        </w:tc>
        <w:tc>
          <w:tcPr>
            <w:tcW w:w="1660" w:type="dxa"/>
            <w:shd w:val="clear" w:color="auto" w:fill="1F4E79"/>
            <w:tcMar>
              <w:top w:w="60" w:type="dxa"/>
              <w:left w:w="80" w:type="dxa"/>
              <w:bottom w:w="60" w:type="dxa"/>
              <w:right w:w="80" w:type="dxa"/>
            </w:tcMar>
            <w:vAlign w:val="center"/>
          </w:tcPr>
          <w:p w14:paraId="763601A7" w14:textId="77777777" w:rsidR="004B229F" w:rsidRDefault="00000000">
            <w:r>
              <w:rPr>
                <w:b/>
                <w:bCs/>
                <w:color w:val="FFFFFF"/>
                <w:sz w:val="18"/>
                <w:szCs w:val="18"/>
              </w:rPr>
              <w:t>Level 3 – Proficient</w:t>
            </w:r>
          </w:p>
        </w:tc>
        <w:tc>
          <w:tcPr>
            <w:tcW w:w="1660" w:type="dxa"/>
            <w:shd w:val="clear" w:color="auto" w:fill="1F4E79"/>
            <w:tcMar>
              <w:top w:w="60" w:type="dxa"/>
              <w:left w:w="80" w:type="dxa"/>
              <w:bottom w:w="60" w:type="dxa"/>
              <w:right w:w="80" w:type="dxa"/>
            </w:tcMar>
            <w:vAlign w:val="center"/>
          </w:tcPr>
          <w:p w14:paraId="10EA6CF1" w14:textId="77777777" w:rsidR="004B229F" w:rsidRDefault="00000000">
            <w:r>
              <w:rPr>
                <w:b/>
                <w:bCs/>
                <w:color w:val="FFFFFF"/>
                <w:sz w:val="18"/>
                <w:szCs w:val="18"/>
              </w:rPr>
              <w:t>Level 2 – Developing</w:t>
            </w:r>
          </w:p>
        </w:tc>
        <w:tc>
          <w:tcPr>
            <w:tcW w:w="1660" w:type="dxa"/>
            <w:shd w:val="clear" w:color="auto" w:fill="1F4E79"/>
            <w:tcMar>
              <w:top w:w="60" w:type="dxa"/>
              <w:left w:w="80" w:type="dxa"/>
              <w:bottom w:w="60" w:type="dxa"/>
              <w:right w:w="80" w:type="dxa"/>
            </w:tcMar>
            <w:vAlign w:val="center"/>
          </w:tcPr>
          <w:p w14:paraId="0C62040A" w14:textId="77777777" w:rsidR="004B229F" w:rsidRDefault="00000000">
            <w:r>
              <w:rPr>
                <w:b/>
                <w:bCs/>
                <w:color w:val="FFFFFF"/>
                <w:sz w:val="18"/>
                <w:szCs w:val="18"/>
              </w:rPr>
              <w:t>Level 1 – Beginning</w:t>
            </w:r>
          </w:p>
        </w:tc>
      </w:tr>
      <w:tr w:rsidR="004B229F" w14:paraId="67962616" w14:textId="77777777">
        <w:tblPrEx>
          <w:tblCellMar>
            <w:top w:w="0" w:type="dxa"/>
            <w:bottom w:w="0" w:type="dxa"/>
          </w:tblCellMar>
        </w:tblPrEx>
        <w:tc>
          <w:tcPr>
            <w:tcW w:w="2400" w:type="dxa"/>
            <w:tcMar>
              <w:top w:w="60" w:type="dxa"/>
              <w:left w:w="80" w:type="dxa"/>
              <w:bottom w:w="60" w:type="dxa"/>
              <w:right w:w="80" w:type="dxa"/>
            </w:tcMar>
            <w:vAlign w:val="center"/>
          </w:tcPr>
          <w:p w14:paraId="1CA64F7E" w14:textId="77777777" w:rsidR="004B229F" w:rsidRDefault="00000000">
            <w:r>
              <w:rPr>
                <w:color w:val="000000"/>
                <w:sz w:val="18"/>
                <w:szCs w:val="18"/>
              </w:rPr>
              <w:t>Understanding of System</w:t>
            </w:r>
          </w:p>
        </w:tc>
        <w:tc>
          <w:tcPr>
            <w:tcW w:w="1560" w:type="dxa"/>
            <w:tcMar>
              <w:top w:w="60" w:type="dxa"/>
              <w:left w:w="80" w:type="dxa"/>
              <w:bottom w:w="60" w:type="dxa"/>
              <w:right w:w="80" w:type="dxa"/>
            </w:tcMar>
            <w:vAlign w:val="center"/>
          </w:tcPr>
          <w:p w14:paraId="33445C68" w14:textId="77777777" w:rsidR="004B229F" w:rsidRDefault="00000000">
            <w:r>
              <w:rPr>
                <w:color w:val="000000"/>
                <w:sz w:val="18"/>
                <w:szCs w:val="18"/>
              </w:rPr>
              <w:t>20%</w:t>
            </w:r>
          </w:p>
        </w:tc>
        <w:tc>
          <w:tcPr>
            <w:tcW w:w="1660" w:type="dxa"/>
            <w:tcMar>
              <w:top w:w="60" w:type="dxa"/>
              <w:left w:w="80" w:type="dxa"/>
              <w:bottom w:w="60" w:type="dxa"/>
              <w:right w:w="80" w:type="dxa"/>
            </w:tcMar>
            <w:vAlign w:val="center"/>
          </w:tcPr>
          <w:p w14:paraId="6099CE22" w14:textId="77777777" w:rsidR="004B229F" w:rsidRDefault="004B229F"/>
        </w:tc>
        <w:tc>
          <w:tcPr>
            <w:tcW w:w="1660" w:type="dxa"/>
            <w:tcMar>
              <w:top w:w="60" w:type="dxa"/>
              <w:left w:w="80" w:type="dxa"/>
              <w:bottom w:w="60" w:type="dxa"/>
              <w:right w:w="80" w:type="dxa"/>
            </w:tcMar>
            <w:vAlign w:val="center"/>
          </w:tcPr>
          <w:p w14:paraId="0785CBB7" w14:textId="77777777" w:rsidR="004B229F" w:rsidRDefault="004B229F"/>
        </w:tc>
        <w:tc>
          <w:tcPr>
            <w:tcW w:w="1660" w:type="dxa"/>
            <w:tcMar>
              <w:top w:w="60" w:type="dxa"/>
              <w:left w:w="80" w:type="dxa"/>
              <w:bottom w:w="60" w:type="dxa"/>
              <w:right w:w="80" w:type="dxa"/>
            </w:tcMar>
            <w:vAlign w:val="center"/>
          </w:tcPr>
          <w:p w14:paraId="32E4EB65" w14:textId="77777777" w:rsidR="004B229F" w:rsidRDefault="004B229F"/>
        </w:tc>
        <w:tc>
          <w:tcPr>
            <w:tcW w:w="1660" w:type="dxa"/>
            <w:tcMar>
              <w:top w:w="60" w:type="dxa"/>
              <w:left w:w="80" w:type="dxa"/>
              <w:bottom w:w="60" w:type="dxa"/>
              <w:right w:w="80" w:type="dxa"/>
            </w:tcMar>
            <w:vAlign w:val="center"/>
          </w:tcPr>
          <w:p w14:paraId="13275936" w14:textId="77777777" w:rsidR="004B229F" w:rsidRDefault="004B229F"/>
        </w:tc>
      </w:tr>
      <w:tr w:rsidR="004B229F" w14:paraId="061400F8" w14:textId="77777777">
        <w:tblPrEx>
          <w:tblCellMar>
            <w:top w:w="0" w:type="dxa"/>
            <w:bottom w:w="0" w:type="dxa"/>
          </w:tblCellMar>
        </w:tblPrEx>
        <w:tc>
          <w:tcPr>
            <w:tcW w:w="2400" w:type="dxa"/>
            <w:tcMar>
              <w:top w:w="60" w:type="dxa"/>
              <w:left w:w="80" w:type="dxa"/>
              <w:bottom w:w="60" w:type="dxa"/>
              <w:right w:w="80" w:type="dxa"/>
            </w:tcMar>
            <w:vAlign w:val="center"/>
          </w:tcPr>
          <w:p w14:paraId="0640000C" w14:textId="77777777" w:rsidR="004B229F" w:rsidRDefault="00000000">
            <w:r>
              <w:rPr>
                <w:color w:val="000000"/>
                <w:sz w:val="18"/>
                <w:szCs w:val="18"/>
              </w:rPr>
              <w:t>Decomposition</w:t>
            </w:r>
          </w:p>
        </w:tc>
        <w:tc>
          <w:tcPr>
            <w:tcW w:w="1560" w:type="dxa"/>
            <w:tcMar>
              <w:top w:w="60" w:type="dxa"/>
              <w:left w:w="80" w:type="dxa"/>
              <w:bottom w:w="60" w:type="dxa"/>
              <w:right w:w="80" w:type="dxa"/>
            </w:tcMar>
            <w:vAlign w:val="center"/>
          </w:tcPr>
          <w:p w14:paraId="604E8EF8" w14:textId="77777777" w:rsidR="004B229F" w:rsidRDefault="00000000">
            <w:r>
              <w:rPr>
                <w:color w:val="000000"/>
                <w:sz w:val="18"/>
                <w:szCs w:val="18"/>
              </w:rPr>
              <w:t>25%</w:t>
            </w:r>
          </w:p>
        </w:tc>
        <w:tc>
          <w:tcPr>
            <w:tcW w:w="1660" w:type="dxa"/>
            <w:tcMar>
              <w:top w:w="60" w:type="dxa"/>
              <w:left w:w="80" w:type="dxa"/>
              <w:bottom w:w="60" w:type="dxa"/>
              <w:right w:w="80" w:type="dxa"/>
            </w:tcMar>
            <w:vAlign w:val="center"/>
          </w:tcPr>
          <w:p w14:paraId="40CFAC4A" w14:textId="77777777" w:rsidR="004B229F" w:rsidRDefault="004B229F"/>
        </w:tc>
        <w:tc>
          <w:tcPr>
            <w:tcW w:w="1660" w:type="dxa"/>
            <w:tcMar>
              <w:top w:w="60" w:type="dxa"/>
              <w:left w:w="80" w:type="dxa"/>
              <w:bottom w:w="60" w:type="dxa"/>
              <w:right w:w="80" w:type="dxa"/>
            </w:tcMar>
            <w:vAlign w:val="center"/>
          </w:tcPr>
          <w:p w14:paraId="7A1177CF" w14:textId="77777777" w:rsidR="004B229F" w:rsidRDefault="004B229F"/>
        </w:tc>
        <w:tc>
          <w:tcPr>
            <w:tcW w:w="1660" w:type="dxa"/>
            <w:tcMar>
              <w:top w:w="60" w:type="dxa"/>
              <w:left w:w="80" w:type="dxa"/>
              <w:bottom w:w="60" w:type="dxa"/>
              <w:right w:w="80" w:type="dxa"/>
            </w:tcMar>
            <w:vAlign w:val="center"/>
          </w:tcPr>
          <w:p w14:paraId="0B2E33BE" w14:textId="77777777" w:rsidR="004B229F" w:rsidRDefault="004B229F"/>
        </w:tc>
        <w:tc>
          <w:tcPr>
            <w:tcW w:w="1660" w:type="dxa"/>
            <w:tcMar>
              <w:top w:w="60" w:type="dxa"/>
              <w:left w:w="80" w:type="dxa"/>
              <w:bottom w:w="60" w:type="dxa"/>
              <w:right w:w="80" w:type="dxa"/>
            </w:tcMar>
            <w:vAlign w:val="center"/>
          </w:tcPr>
          <w:p w14:paraId="0683B719" w14:textId="77777777" w:rsidR="004B229F" w:rsidRDefault="004B229F"/>
        </w:tc>
      </w:tr>
      <w:tr w:rsidR="004B229F" w14:paraId="228A0E6D" w14:textId="77777777">
        <w:tblPrEx>
          <w:tblCellMar>
            <w:top w:w="0" w:type="dxa"/>
            <w:bottom w:w="0" w:type="dxa"/>
          </w:tblCellMar>
        </w:tblPrEx>
        <w:tc>
          <w:tcPr>
            <w:tcW w:w="2400" w:type="dxa"/>
            <w:tcMar>
              <w:top w:w="60" w:type="dxa"/>
              <w:left w:w="80" w:type="dxa"/>
              <w:bottom w:w="60" w:type="dxa"/>
              <w:right w:w="80" w:type="dxa"/>
            </w:tcMar>
            <w:vAlign w:val="center"/>
          </w:tcPr>
          <w:p w14:paraId="4875D720" w14:textId="77777777" w:rsidR="004B229F" w:rsidRDefault="00000000">
            <w:r>
              <w:rPr>
                <w:color w:val="000000"/>
                <w:sz w:val="18"/>
                <w:szCs w:val="18"/>
              </w:rPr>
              <w:t>Identification of Components</w:t>
            </w:r>
          </w:p>
        </w:tc>
        <w:tc>
          <w:tcPr>
            <w:tcW w:w="1560" w:type="dxa"/>
            <w:tcMar>
              <w:top w:w="60" w:type="dxa"/>
              <w:left w:w="80" w:type="dxa"/>
              <w:bottom w:w="60" w:type="dxa"/>
              <w:right w:w="80" w:type="dxa"/>
            </w:tcMar>
            <w:vAlign w:val="center"/>
          </w:tcPr>
          <w:p w14:paraId="6BCAC6D5" w14:textId="77777777" w:rsidR="004B229F" w:rsidRDefault="00000000">
            <w:r>
              <w:rPr>
                <w:color w:val="000000"/>
                <w:sz w:val="18"/>
                <w:szCs w:val="18"/>
              </w:rPr>
              <w:t>20%</w:t>
            </w:r>
          </w:p>
        </w:tc>
        <w:tc>
          <w:tcPr>
            <w:tcW w:w="1660" w:type="dxa"/>
            <w:tcMar>
              <w:top w:w="60" w:type="dxa"/>
              <w:left w:w="80" w:type="dxa"/>
              <w:bottom w:w="60" w:type="dxa"/>
              <w:right w:w="80" w:type="dxa"/>
            </w:tcMar>
            <w:vAlign w:val="center"/>
          </w:tcPr>
          <w:p w14:paraId="5D3ABBE8" w14:textId="77777777" w:rsidR="004B229F" w:rsidRDefault="004B229F"/>
        </w:tc>
        <w:tc>
          <w:tcPr>
            <w:tcW w:w="1660" w:type="dxa"/>
            <w:tcMar>
              <w:top w:w="60" w:type="dxa"/>
              <w:left w:w="80" w:type="dxa"/>
              <w:bottom w:w="60" w:type="dxa"/>
              <w:right w:w="80" w:type="dxa"/>
            </w:tcMar>
            <w:vAlign w:val="center"/>
          </w:tcPr>
          <w:p w14:paraId="3147AE17" w14:textId="77777777" w:rsidR="004B229F" w:rsidRDefault="004B229F"/>
        </w:tc>
        <w:tc>
          <w:tcPr>
            <w:tcW w:w="1660" w:type="dxa"/>
            <w:tcMar>
              <w:top w:w="60" w:type="dxa"/>
              <w:left w:w="80" w:type="dxa"/>
              <w:bottom w:w="60" w:type="dxa"/>
              <w:right w:w="80" w:type="dxa"/>
            </w:tcMar>
            <w:vAlign w:val="center"/>
          </w:tcPr>
          <w:p w14:paraId="25EE7708" w14:textId="77777777" w:rsidR="004B229F" w:rsidRDefault="004B229F"/>
        </w:tc>
        <w:tc>
          <w:tcPr>
            <w:tcW w:w="1660" w:type="dxa"/>
            <w:tcMar>
              <w:top w:w="60" w:type="dxa"/>
              <w:left w:w="80" w:type="dxa"/>
              <w:bottom w:w="60" w:type="dxa"/>
              <w:right w:w="80" w:type="dxa"/>
            </w:tcMar>
            <w:vAlign w:val="center"/>
          </w:tcPr>
          <w:p w14:paraId="48593D1B" w14:textId="77777777" w:rsidR="004B229F" w:rsidRDefault="004B229F"/>
        </w:tc>
      </w:tr>
      <w:tr w:rsidR="004B229F" w14:paraId="5199AB55" w14:textId="77777777">
        <w:tblPrEx>
          <w:tblCellMar>
            <w:top w:w="0" w:type="dxa"/>
            <w:bottom w:w="0" w:type="dxa"/>
          </w:tblCellMar>
        </w:tblPrEx>
        <w:tc>
          <w:tcPr>
            <w:tcW w:w="2400" w:type="dxa"/>
            <w:tcMar>
              <w:top w:w="60" w:type="dxa"/>
              <w:left w:w="80" w:type="dxa"/>
              <w:bottom w:w="60" w:type="dxa"/>
              <w:right w:w="80" w:type="dxa"/>
            </w:tcMar>
            <w:vAlign w:val="center"/>
          </w:tcPr>
          <w:p w14:paraId="2558285E" w14:textId="77777777" w:rsidR="004B229F" w:rsidRDefault="00000000">
            <w:r>
              <w:rPr>
                <w:color w:val="000000"/>
                <w:sz w:val="18"/>
                <w:szCs w:val="18"/>
              </w:rPr>
              <w:t>Reconstruction</w:t>
            </w:r>
          </w:p>
        </w:tc>
        <w:tc>
          <w:tcPr>
            <w:tcW w:w="1560" w:type="dxa"/>
            <w:tcMar>
              <w:top w:w="60" w:type="dxa"/>
              <w:left w:w="80" w:type="dxa"/>
              <w:bottom w:w="60" w:type="dxa"/>
              <w:right w:w="80" w:type="dxa"/>
            </w:tcMar>
            <w:vAlign w:val="center"/>
          </w:tcPr>
          <w:p w14:paraId="42115D8A" w14:textId="77777777" w:rsidR="004B229F" w:rsidRDefault="00000000">
            <w:r>
              <w:rPr>
                <w:color w:val="000000"/>
                <w:sz w:val="18"/>
                <w:szCs w:val="18"/>
              </w:rPr>
              <w:t>20%</w:t>
            </w:r>
          </w:p>
        </w:tc>
        <w:tc>
          <w:tcPr>
            <w:tcW w:w="1660" w:type="dxa"/>
            <w:tcMar>
              <w:top w:w="60" w:type="dxa"/>
              <w:left w:w="80" w:type="dxa"/>
              <w:bottom w:w="60" w:type="dxa"/>
              <w:right w:w="80" w:type="dxa"/>
            </w:tcMar>
            <w:vAlign w:val="center"/>
          </w:tcPr>
          <w:p w14:paraId="2F3E443C" w14:textId="77777777" w:rsidR="004B229F" w:rsidRDefault="004B229F"/>
        </w:tc>
        <w:tc>
          <w:tcPr>
            <w:tcW w:w="1660" w:type="dxa"/>
            <w:tcMar>
              <w:top w:w="60" w:type="dxa"/>
              <w:left w:w="80" w:type="dxa"/>
              <w:bottom w:w="60" w:type="dxa"/>
              <w:right w:w="80" w:type="dxa"/>
            </w:tcMar>
            <w:vAlign w:val="center"/>
          </w:tcPr>
          <w:p w14:paraId="02CC881E" w14:textId="77777777" w:rsidR="004B229F" w:rsidRDefault="004B229F"/>
        </w:tc>
        <w:tc>
          <w:tcPr>
            <w:tcW w:w="1660" w:type="dxa"/>
            <w:tcMar>
              <w:top w:w="60" w:type="dxa"/>
              <w:left w:w="80" w:type="dxa"/>
              <w:bottom w:w="60" w:type="dxa"/>
              <w:right w:w="80" w:type="dxa"/>
            </w:tcMar>
            <w:vAlign w:val="center"/>
          </w:tcPr>
          <w:p w14:paraId="7B8EA3F6" w14:textId="77777777" w:rsidR="004B229F" w:rsidRDefault="004B229F"/>
        </w:tc>
        <w:tc>
          <w:tcPr>
            <w:tcW w:w="1660" w:type="dxa"/>
            <w:tcMar>
              <w:top w:w="60" w:type="dxa"/>
              <w:left w:w="80" w:type="dxa"/>
              <w:bottom w:w="60" w:type="dxa"/>
              <w:right w:w="80" w:type="dxa"/>
            </w:tcMar>
            <w:vAlign w:val="center"/>
          </w:tcPr>
          <w:p w14:paraId="2A3515FF" w14:textId="77777777" w:rsidR="004B229F" w:rsidRDefault="004B229F"/>
        </w:tc>
      </w:tr>
      <w:tr w:rsidR="004B229F" w14:paraId="2391689D" w14:textId="77777777">
        <w:tblPrEx>
          <w:tblCellMar>
            <w:top w:w="0" w:type="dxa"/>
            <w:bottom w:w="0" w:type="dxa"/>
          </w:tblCellMar>
        </w:tblPrEx>
        <w:tc>
          <w:tcPr>
            <w:tcW w:w="2400" w:type="dxa"/>
            <w:tcMar>
              <w:top w:w="60" w:type="dxa"/>
              <w:left w:w="80" w:type="dxa"/>
              <w:bottom w:w="60" w:type="dxa"/>
              <w:right w:w="80" w:type="dxa"/>
            </w:tcMar>
            <w:vAlign w:val="center"/>
          </w:tcPr>
          <w:p w14:paraId="0F4EB19A" w14:textId="77777777" w:rsidR="004B229F" w:rsidRDefault="00000000">
            <w:r>
              <w:rPr>
                <w:color w:val="000000"/>
                <w:sz w:val="18"/>
                <w:szCs w:val="18"/>
              </w:rPr>
              <w:t>Documentation</w:t>
            </w:r>
          </w:p>
        </w:tc>
        <w:tc>
          <w:tcPr>
            <w:tcW w:w="1560" w:type="dxa"/>
            <w:tcMar>
              <w:top w:w="60" w:type="dxa"/>
              <w:left w:w="80" w:type="dxa"/>
              <w:bottom w:w="60" w:type="dxa"/>
              <w:right w:w="80" w:type="dxa"/>
            </w:tcMar>
            <w:vAlign w:val="center"/>
          </w:tcPr>
          <w:p w14:paraId="59000CA1" w14:textId="77777777" w:rsidR="004B229F" w:rsidRDefault="00000000">
            <w:r>
              <w:rPr>
                <w:color w:val="000000"/>
                <w:sz w:val="18"/>
                <w:szCs w:val="18"/>
              </w:rPr>
              <w:t>15%</w:t>
            </w:r>
          </w:p>
        </w:tc>
        <w:tc>
          <w:tcPr>
            <w:tcW w:w="1660" w:type="dxa"/>
            <w:tcMar>
              <w:top w:w="60" w:type="dxa"/>
              <w:left w:w="80" w:type="dxa"/>
              <w:bottom w:w="60" w:type="dxa"/>
              <w:right w:w="80" w:type="dxa"/>
            </w:tcMar>
            <w:vAlign w:val="center"/>
          </w:tcPr>
          <w:p w14:paraId="71F1525A" w14:textId="77777777" w:rsidR="004B229F" w:rsidRDefault="004B229F"/>
        </w:tc>
        <w:tc>
          <w:tcPr>
            <w:tcW w:w="1660" w:type="dxa"/>
            <w:tcMar>
              <w:top w:w="60" w:type="dxa"/>
              <w:left w:w="80" w:type="dxa"/>
              <w:bottom w:w="60" w:type="dxa"/>
              <w:right w:w="80" w:type="dxa"/>
            </w:tcMar>
            <w:vAlign w:val="center"/>
          </w:tcPr>
          <w:p w14:paraId="51F14D0A" w14:textId="77777777" w:rsidR="004B229F" w:rsidRDefault="004B229F"/>
        </w:tc>
        <w:tc>
          <w:tcPr>
            <w:tcW w:w="1660" w:type="dxa"/>
            <w:tcMar>
              <w:top w:w="60" w:type="dxa"/>
              <w:left w:w="80" w:type="dxa"/>
              <w:bottom w:w="60" w:type="dxa"/>
              <w:right w:w="80" w:type="dxa"/>
            </w:tcMar>
            <w:vAlign w:val="center"/>
          </w:tcPr>
          <w:p w14:paraId="31256CB3" w14:textId="77777777" w:rsidR="004B229F" w:rsidRDefault="004B229F"/>
        </w:tc>
        <w:tc>
          <w:tcPr>
            <w:tcW w:w="1660" w:type="dxa"/>
            <w:tcMar>
              <w:top w:w="60" w:type="dxa"/>
              <w:left w:w="80" w:type="dxa"/>
              <w:bottom w:w="60" w:type="dxa"/>
              <w:right w:w="80" w:type="dxa"/>
            </w:tcMar>
            <w:vAlign w:val="center"/>
          </w:tcPr>
          <w:p w14:paraId="03C7D05E" w14:textId="77777777" w:rsidR="004B229F" w:rsidRDefault="004B229F"/>
        </w:tc>
      </w:tr>
    </w:tbl>
    <w:p w14:paraId="1C6706EF" w14:textId="77777777" w:rsidR="004B229F" w:rsidRDefault="004B229F">
      <w:pPr>
        <w:spacing w:before="250" w:after="100"/>
      </w:pP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1516"/>
        <w:gridCol w:w="1516"/>
        <w:gridCol w:w="1516"/>
        <w:gridCol w:w="1516"/>
        <w:gridCol w:w="1516"/>
        <w:gridCol w:w="1516"/>
      </w:tblGrid>
      <w:tr w:rsidR="004B229F" w14:paraId="0EE5D6E3" w14:textId="77777777">
        <w:tblPrEx>
          <w:tblCellMar>
            <w:top w:w="0" w:type="dxa"/>
            <w:bottom w:w="0" w:type="dxa"/>
          </w:tblCellMar>
        </w:tblPrEx>
        <w:tc>
          <w:tcPr>
            <w:tcW w:w="1516" w:type="dxa"/>
            <w:shd w:val="clear" w:color="auto" w:fill="1F4E79"/>
            <w:tcMar>
              <w:top w:w="60" w:type="dxa"/>
              <w:left w:w="80" w:type="dxa"/>
              <w:bottom w:w="60" w:type="dxa"/>
              <w:right w:w="80" w:type="dxa"/>
            </w:tcMar>
            <w:vAlign w:val="center"/>
          </w:tcPr>
          <w:p w14:paraId="3781C5A2" w14:textId="77777777" w:rsidR="004B229F" w:rsidRDefault="00000000">
            <w:r>
              <w:rPr>
                <w:b/>
                <w:bCs/>
                <w:color w:val="FFFFFF"/>
                <w:sz w:val="18"/>
                <w:szCs w:val="18"/>
              </w:rPr>
              <w:t>Criteria</w:t>
            </w:r>
          </w:p>
        </w:tc>
        <w:tc>
          <w:tcPr>
            <w:tcW w:w="1516" w:type="dxa"/>
            <w:shd w:val="clear" w:color="auto" w:fill="1F4E79"/>
            <w:tcMar>
              <w:top w:w="60" w:type="dxa"/>
              <w:left w:w="80" w:type="dxa"/>
              <w:bottom w:w="60" w:type="dxa"/>
              <w:right w:w="80" w:type="dxa"/>
            </w:tcMar>
            <w:vAlign w:val="center"/>
          </w:tcPr>
          <w:p w14:paraId="0887A448" w14:textId="77777777" w:rsidR="004B229F" w:rsidRDefault="00000000">
            <w:r>
              <w:rPr>
                <w:b/>
                <w:bCs/>
                <w:color w:val="FFFFFF"/>
                <w:sz w:val="18"/>
                <w:szCs w:val="18"/>
              </w:rPr>
              <w:t>Understanding of System</w:t>
            </w:r>
          </w:p>
        </w:tc>
        <w:tc>
          <w:tcPr>
            <w:tcW w:w="1516" w:type="dxa"/>
            <w:shd w:val="clear" w:color="auto" w:fill="1F4E79"/>
            <w:tcMar>
              <w:top w:w="60" w:type="dxa"/>
              <w:left w:w="80" w:type="dxa"/>
              <w:bottom w:w="60" w:type="dxa"/>
              <w:right w:w="80" w:type="dxa"/>
            </w:tcMar>
            <w:vAlign w:val="center"/>
          </w:tcPr>
          <w:p w14:paraId="56B61C1F" w14:textId="77777777" w:rsidR="004B229F" w:rsidRDefault="00000000">
            <w:r>
              <w:rPr>
                <w:b/>
                <w:bCs/>
                <w:color w:val="FFFFFF"/>
                <w:sz w:val="18"/>
                <w:szCs w:val="18"/>
              </w:rPr>
              <w:t>Decomposition</w:t>
            </w:r>
          </w:p>
        </w:tc>
        <w:tc>
          <w:tcPr>
            <w:tcW w:w="1516" w:type="dxa"/>
            <w:shd w:val="clear" w:color="auto" w:fill="1F4E79"/>
            <w:tcMar>
              <w:top w:w="60" w:type="dxa"/>
              <w:left w:w="80" w:type="dxa"/>
              <w:bottom w:w="60" w:type="dxa"/>
              <w:right w:w="80" w:type="dxa"/>
            </w:tcMar>
            <w:vAlign w:val="center"/>
          </w:tcPr>
          <w:p w14:paraId="2361B36B" w14:textId="77777777" w:rsidR="004B229F" w:rsidRDefault="00000000">
            <w:r>
              <w:rPr>
                <w:b/>
                <w:bCs/>
                <w:color w:val="FFFFFF"/>
                <w:sz w:val="18"/>
                <w:szCs w:val="18"/>
              </w:rPr>
              <w:t>Identification of Components</w:t>
            </w:r>
          </w:p>
        </w:tc>
        <w:tc>
          <w:tcPr>
            <w:tcW w:w="1516" w:type="dxa"/>
            <w:shd w:val="clear" w:color="auto" w:fill="1F4E79"/>
            <w:tcMar>
              <w:top w:w="60" w:type="dxa"/>
              <w:left w:w="80" w:type="dxa"/>
              <w:bottom w:w="60" w:type="dxa"/>
              <w:right w:w="80" w:type="dxa"/>
            </w:tcMar>
            <w:vAlign w:val="center"/>
          </w:tcPr>
          <w:p w14:paraId="762CE7C2" w14:textId="77777777" w:rsidR="004B229F" w:rsidRDefault="00000000">
            <w:r>
              <w:rPr>
                <w:b/>
                <w:bCs/>
                <w:color w:val="FFFFFF"/>
                <w:sz w:val="18"/>
                <w:szCs w:val="18"/>
              </w:rPr>
              <w:t>Reconstruction</w:t>
            </w:r>
          </w:p>
        </w:tc>
        <w:tc>
          <w:tcPr>
            <w:tcW w:w="1516" w:type="dxa"/>
            <w:shd w:val="clear" w:color="auto" w:fill="1F4E79"/>
            <w:tcMar>
              <w:top w:w="60" w:type="dxa"/>
              <w:left w:w="80" w:type="dxa"/>
              <w:bottom w:w="60" w:type="dxa"/>
              <w:right w:w="80" w:type="dxa"/>
            </w:tcMar>
            <w:vAlign w:val="center"/>
          </w:tcPr>
          <w:p w14:paraId="33C40027" w14:textId="77777777" w:rsidR="004B229F" w:rsidRDefault="00000000">
            <w:r>
              <w:rPr>
                <w:b/>
                <w:bCs/>
                <w:color w:val="FFFFFF"/>
                <w:sz w:val="18"/>
                <w:szCs w:val="18"/>
              </w:rPr>
              <w:t>Documentation</w:t>
            </w:r>
          </w:p>
        </w:tc>
        <w:tc>
          <w:tcPr>
            <w:tcW w:w="1516" w:type="dxa"/>
            <w:shd w:val="clear" w:color="auto" w:fill="1F4E79"/>
            <w:tcMar>
              <w:top w:w="60" w:type="dxa"/>
              <w:left w:w="80" w:type="dxa"/>
              <w:bottom w:w="60" w:type="dxa"/>
              <w:right w:w="80" w:type="dxa"/>
            </w:tcMar>
            <w:vAlign w:val="center"/>
          </w:tcPr>
          <w:p w14:paraId="0146A99F" w14:textId="77777777" w:rsidR="004B229F" w:rsidRDefault="00000000">
            <w:r>
              <w:rPr>
                <w:b/>
                <w:bCs/>
                <w:color w:val="FFFFFF"/>
                <w:sz w:val="18"/>
                <w:szCs w:val="18"/>
              </w:rPr>
              <w:t>Total</w:t>
            </w:r>
          </w:p>
        </w:tc>
      </w:tr>
      <w:tr w:rsidR="004B229F" w14:paraId="07A3752C" w14:textId="77777777">
        <w:tblPrEx>
          <w:tblCellMar>
            <w:top w:w="0" w:type="dxa"/>
            <w:bottom w:w="0" w:type="dxa"/>
          </w:tblCellMar>
        </w:tblPrEx>
        <w:tc>
          <w:tcPr>
            <w:tcW w:w="1516" w:type="dxa"/>
            <w:tcMar>
              <w:top w:w="60" w:type="dxa"/>
              <w:left w:w="80" w:type="dxa"/>
              <w:bottom w:w="60" w:type="dxa"/>
              <w:right w:w="80" w:type="dxa"/>
            </w:tcMar>
            <w:vAlign w:val="center"/>
          </w:tcPr>
          <w:p w14:paraId="227176B1" w14:textId="77777777" w:rsidR="004B229F" w:rsidRDefault="00000000">
            <w:r>
              <w:rPr>
                <w:color w:val="000000"/>
                <w:sz w:val="18"/>
                <w:szCs w:val="18"/>
              </w:rPr>
              <w:t>Q1</w:t>
            </w:r>
          </w:p>
        </w:tc>
        <w:tc>
          <w:tcPr>
            <w:tcW w:w="1516" w:type="dxa"/>
            <w:tcMar>
              <w:top w:w="60" w:type="dxa"/>
              <w:left w:w="80" w:type="dxa"/>
              <w:bottom w:w="60" w:type="dxa"/>
              <w:right w:w="80" w:type="dxa"/>
            </w:tcMar>
            <w:vAlign w:val="center"/>
          </w:tcPr>
          <w:p w14:paraId="75E33A6E" w14:textId="77777777" w:rsidR="004B229F" w:rsidRDefault="004B229F"/>
        </w:tc>
        <w:tc>
          <w:tcPr>
            <w:tcW w:w="1516" w:type="dxa"/>
            <w:tcMar>
              <w:top w:w="60" w:type="dxa"/>
              <w:left w:w="80" w:type="dxa"/>
              <w:bottom w:w="60" w:type="dxa"/>
              <w:right w:w="80" w:type="dxa"/>
            </w:tcMar>
            <w:vAlign w:val="center"/>
          </w:tcPr>
          <w:p w14:paraId="29457327" w14:textId="77777777" w:rsidR="004B229F" w:rsidRDefault="004B229F"/>
        </w:tc>
        <w:tc>
          <w:tcPr>
            <w:tcW w:w="1516" w:type="dxa"/>
            <w:tcMar>
              <w:top w:w="60" w:type="dxa"/>
              <w:left w:w="80" w:type="dxa"/>
              <w:bottom w:w="60" w:type="dxa"/>
              <w:right w:w="80" w:type="dxa"/>
            </w:tcMar>
            <w:vAlign w:val="center"/>
          </w:tcPr>
          <w:p w14:paraId="685F71A9" w14:textId="77777777" w:rsidR="004B229F" w:rsidRDefault="004B229F"/>
        </w:tc>
        <w:tc>
          <w:tcPr>
            <w:tcW w:w="1516" w:type="dxa"/>
            <w:tcMar>
              <w:top w:w="60" w:type="dxa"/>
              <w:left w:w="80" w:type="dxa"/>
              <w:bottom w:w="60" w:type="dxa"/>
              <w:right w:w="80" w:type="dxa"/>
            </w:tcMar>
            <w:vAlign w:val="center"/>
          </w:tcPr>
          <w:p w14:paraId="30986013" w14:textId="77777777" w:rsidR="004B229F" w:rsidRDefault="004B229F"/>
        </w:tc>
        <w:tc>
          <w:tcPr>
            <w:tcW w:w="1516" w:type="dxa"/>
            <w:tcMar>
              <w:top w:w="60" w:type="dxa"/>
              <w:left w:w="80" w:type="dxa"/>
              <w:bottom w:w="60" w:type="dxa"/>
              <w:right w:w="80" w:type="dxa"/>
            </w:tcMar>
            <w:vAlign w:val="center"/>
          </w:tcPr>
          <w:p w14:paraId="60AA8028" w14:textId="77777777" w:rsidR="004B229F" w:rsidRDefault="004B229F"/>
        </w:tc>
        <w:tc>
          <w:tcPr>
            <w:tcW w:w="1516" w:type="dxa"/>
            <w:tcMar>
              <w:top w:w="60" w:type="dxa"/>
              <w:left w:w="80" w:type="dxa"/>
              <w:bottom w:w="60" w:type="dxa"/>
              <w:right w:w="80" w:type="dxa"/>
            </w:tcMar>
            <w:vAlign w:val="center"/>
          </w:tcPr>
          <w:p w14:paraId="080374C6" w14:textId="77777777" w:rsidR="004B229F" w:rsidRDefault="004B229F"/>
        </w:tc>
      </w:tr>
      <w:tr w:rsidR="004B229F" w14:paraId="6841F6F2" w14:textId="77777777">
        <w:tblPrEx>
          <w:tblCellMar>
            <w:top w:w="0" w:type="dxa"/>
            <w:bottom w:w="0" w:type="dxa"/>
          </w:tblCellMar>
        </w:tblPrEx>
        <w:tc>
          <w:tcPr>
            <w:tcW w:w="1516" w:type="dxa"/>
            <w:tcMar>
              <w:top w:w="60" w:type="dxa"/>
              <w:left w:w="80" w:type="dxa"/>
              <w:bottom w:w="60" w:type="dxa"/>
              <w:right w:w="80" w:type="dxa"/>
            </w:tcMar>
            <w:vAlign w:val="center"/>
          </w:tcPr>
          <w:p w14:paraId="24D2D707" w14:textId="77777777" w:rsidR="004B229F" w:rsidRDefault="00000000">
            <w:r>
              <w:rPr>
                <w:color w:val="000000"/>
                <w:sz w:val="18"/>
                <w:szCs w:val="18"/>
              </w:rPr>
              <w:t>Q2</w:t>
            </w:r>
          </w:p>
        </w:tc>
        <w:tc>
          <w:tcPr>
            <w:tcW w:w="1516" w:type="dxa"/>
            <w:tcMar>
              <w:top w:w="60" w:type="dxa"/>
              <w:left w:w="80" w:type="dxa"/>
              <w:bottom w:w="60" w:type="dxa"/>
              <w:right w:w="80" w:type="dxa"/>
            </w:tcMar>
            <w:vAlign w:val="center"/>
          </w:tcPr>
          <w:p w14:paraId="478FEA4E" w14:textId="77777777" w:rsidR="004B229F" w:rsidRDefault="004B229F"/>
        </w:tc>
        <w:tc>
          <w:tcPr>
            <w:tcW w:w="1516" w:type="dxa"/>
            <w:tcMar>
              <w:top w:w="60" w:type="dxa"/>
              <w:left w:w="80" w:type="dxa"/>
              <w:bottom w:w="60" w:type="dxa"/>
              <w:right w:w="80" w:type="dxa"/>
            </w:tcMar>
            <w:vAlign w:val="center"/>
          </w:tcPr>
          <w:p w14:paraId="771C861A" w14:textId="77777777" w:rsidR="004B229F" w:rsidRDefault="004B229F"/>
        </w:tc>
        <w:tc>
          <w:tcPr>
            <w:tcW w:w="1516" w:type="dxa"/>
            <w:tcMar>
              <w:top w:w="60" w:type="dxa"/>
              <w:left w:w="80" w:type="dxa"/>
              <w:bottom w:w="60" w:type="dxa"/>
              <w:right w:w="80" w:type="dxa"/>
            </w:tcMar>
            <w:vAlign w:val="center"/>
          </w:tcPr>
          <w:p w14:paraId="1C51967F" w14:textId="77777777" w:rsidR="004B229F" w:rsidRDefault="004B229F"/>
        </w:tc>
        <w:tc>
          <w:tcPr>
            <w:tcW w:w="1516" w:type="dxa"/>
            <w:tcMar>
              <w:top w:w="60" w:type="dxa"/>
              <w:left w:w="80" w:type="dxa"/>
              <w:bottom w:w="60" w:type="dxa"/>
              <w:right w:w="80" w:type="dxa"/>
            </w:tcMar>
            <w:vAlign w:val="center"/>
          </w:tcPr>
          <w:p w14:paraId="01075424" w14:textId="77777777" w:rsidR="004B229F" w:rsidRDefault="004B229F"/>
        </w:tc>
        <w:tc>
          <w:tcPr>
            <w:tcW w:w="1516" w:type="dxa"/>
            <w:tcMar>
              <w:top w:w="60" w:type="dxa"/>
              <w:left w:w="80" w:type="dxa"/>
              <w:bottom w:w="60" w:type="dxa"/>
              <w:right w:w="80" w:type="dxa"/>
            </w:tcMar>
            <w:vAlign w:val="center"/>
          </w:tcPr>
          <w:p w14:paraId="11339FEE" w14:textId="77777777" w:rsidR="004B229F" w:rsidRDefault="004B229F"/>
        </w:tc>
        <w:tc>
          <w:tcPr>
            <w:tcW w:w="1516" w:type="dxa"/>
            <w:tcMar>
              <w:top w:w="60" w:type="dxa"/>
              <w:left w:w="80" w:type="dxa"/>
              <w:bottom w:w="60" w:type="dxa"/>
              <w:right w:w="80" w:type="dxa"/>
            </w:tcMar>
            <w:vAlign w:val="center"/>
          </w:tcPr>
          <w:p w14:paraId="048B1F71" w14:textId="77777777" w:rsidR="004B229F" w:rsidRDefault="004B229F"/>
        </w:tc>
      </w:tr>
      <w:tr w:rsidR="004B229F" w14:paraId="1BFE1A67" w14:textId="77777777">
        <w:tblPrEx>
          <w:tblCellMar>
            <w:top w:w="0" w:type="dxa"/>
            <w:bottom w:w="0" w:type="dxa"/>
          </w:tblCellMar>
        </w:tblPrEx>
        <w:tc>
          <w:tcPr>
            <w:tcW w:w="1516" w:type="dxa"/>
            <w:tcMar>
              <w:top w:w="60" w:type="dxa"/>
              <w:left w:w="80" w:type="dxa"/>
              <w:bottom w:w="60" w:type="dxa"/>
              <w:right w:w="80" w:type="dxa"/>
            </w:tcMar>
            <w:vAlign w:val="center"/>
          </w:tcPr>
          <w:p w14:paraId="45AB8FA6" w14:textId="77777777" w:rsidR="004B229F" w:rsidRDefault="00000000">
            <w:r>
              <w:rPr>
                <w:color w:val="000000"/>
                <w:sz w:val="18"/>
                <w:szCs w:val="18"/>
              </w:rPr>
              <w:t>Q3</w:t>
            </w:r>
          </w:p>
        </w:tc>
        <w:tc>
          <w:tcPr>
            <w:tcW w:w="1516" w:type="dxa"/>
            <w:tcMar>
              <w:top w:w="60" w:type="dxa"/>
              <w:left w:w="80" w:type="dxa"/>
              <w:bottom w:w="60" w:type="dxa"/>
              <w:right w:w="80" w:type="dxa"/>
            </w:tcMar>
            <w:vAlign w:val="center"/>
          </w:tcPr>
          <w:p w14:paraId="61B29A7C" w14:textId="77777777" w:rsidR="004B229F" w:rsidRDefault="004B229F"/>
        </w:tc>
        <w:tc>
          <w:tcPr>
            <w:tcW w:w="1516" w:type="dxa"/>
            <w:tcMar>
              <w:top w:w="60" w:type="dxa"/>
              <w:left w:w="80" w:type="dxa"/>
              <w:bottom w:w="60" w:type="dxa"/>
              <w:right w:w="80" w:type="dxa"/>
            </w:tcMar>
            <w:vAlign w:val="center"/>
          </w:tcPr>
          <w:p w14:paraId="1BDD7651" w14:textId="77777777" w:rsidR="004B229F" w:rsidRDefault="004B229F"/>
        </w:tc>
        <w:tc>
          <w:tcPr>
            <w:tcW w:w="1516" w:type="dxa"/>
            <w:tcMar>
              <w:top w:w="60" w:type="dxa"/>
              <w:left w:w="80" w:type="dxa"/>
              <w:bottom w:w="60" w:type="dxa"/>
              <w:right w:w="80" w:type="dxa"/>
            </w:tcMar>
            <w:vAlign w:val="center"/>
          </w:tcPr>
          <w:p w14:paraId="1A10D127" w14:textId="77777777" w:rsidR="004B229F" w:rsidRDefault="004B229F"/>
        </w:tc>
        <w:tc>
          <w:tcPr>
            <w:tcW w:w="1516" w:type="dxa"/>
            <w:tcMar>
              <w:top w:w="60" w:type="dxa"/>
              <w:left w:w="80" w:type="dxa"/>
              <w:bottom w:w="60" w:type="dxa"/>
              <w:right w:w="80" w:type="dxa"/>
            </w:tcMar>
            <w:vAlign w:val="center"/>
          </w:tcPr>
          <w:p w14:paraId="123482D6" w14:textId="77777777" w:rsidR="004B229F" w:rsidRDefault="004B229F"/>
        </w:tc>
        <w:tc>
          <w:tcPr>
            <w:tcW w:w="1516" w:type="dxa"/>
            <w:tcMar>
              <w:top w:w="60" w:type="dxa"/>
              <w:left w:w="80" w:type="dxa"/>
              <w:bottom w:w="60" w:type="dxa"/>
              <w:right w:w="80" w:type="dxa"/>
            </w:tcMar>
            <w:vAlign w:val="center"/>
          </w:tcPr>
          <w:p w14:paraId="038C1207" w14:textId="77777777" w:rsidR="004B229F" w:rsidRDefault="004B229F"/>
        </w:tc>
        <w:tc>
          <w:tcPr>
            <w:tcW w:w="1516" w:type="dxa"/>
            <w:tcMar>
              <w:top w:w="60" w:type="dxa"/>
              <w:left w:w="80" w:type="dxa"/>
              <w:bottom w:w="60" w:type="dxa"/>
              <w:right w:w="80" w:type="dxa"/>
            </w:tcMar>
            <w:vAlign w:val="center"/>
          </w:tcPr>
          <w:p w14:paraId="2F9C588E" w14:textId="77777777" w:rsidR="004B229F" w:rsidRDefault="004B229F"/>
        </w:tc>
      </w:tr>
      <w:tr w:rsidR="004B229F" w14:paraId="45B5EB29" w14:textId="77777777">
        <w:tblPrEx>
          <w:tblCellMar>
            <w:top w:w="0" w:type="dxa"/>
            <w:bottom w:w="0" w:type="dxa"/>
          </w:tblCellMar>
        </w:tblPrEx>
        <w:tc>
          <w:tcPr>
            <w:tcW w:w="1516" w:type="dxa"/>
            <w:tcMar>
              <w:top w:w="60" w:type="dxa"/>
              <w:left w:w="80" w:type="dxa"/>
              <w:bottom w:w="60" w:type="dxa"/>
              <w:right w:w="80" w:type="dxa"/>
            </w:tcMar>
            <w:vAlign w:val="center"/>
          </w:tcPr>
          <w:p w14:paraId="7E479A96" w14:textId="77777777" w:rsidR="004B229F" w:rsidRDefault="00000000">
            <w:r>
              <w:rPr>
                <w:color w:val="000000"/>
                <w:sz w:val="18"/>
                <w:szCs w:val="18"/>
              </w:rPr>
              <w:t>Q4</w:t>
            </w:r>
          </w:p>
        </w:tc>
        <w:tc>
          <w:tcPr>
            <w:tcW w:w="1516" w:type="dxa"/>
            <w:tcMar>
              <w:top w:w="60" w:type="dxa"/>
              <w:left w:w="80" w:type="dxa"/>
              <w:bottom w:w="60" w:type="dxa"/>
              <w:right w:w="80" w:type="dxa"/>
            </w:tcMar>
            <w:vAlign w:val="center"/>
          </w:tcPr>
          <w:p w14:paraId="1C025D09" w14:textId="77777777" w:rsidR="004B229F" w:rsidRDefault="004B229F"/>
        </w:tc>
        <w:tc>
          <w:tcPr>
            <w:tcW w:w="1516" w:type="dxa"/>
            <w:tcMar>
              <w:top w:w="60" w:type="dxa"/>
              <w:left w:w="80" w:type="dxa"/>
              <w:bottom w:w="60" w:type="dxa"/>
              <w:right w:w="80" w:type="dxa"/>
            </w:tcMar>
            <w:vAlign w:val="center"/>
          </w:tcPr>
          <w:p w14:paraId="21B7F584" w14:textId="77777777" w:rsidR="004B229F" w:rsidRDefault="004B229F"/>
        </w:tc>
        <w:tc>
          <w:tcPr>
            <w:tcW w:w="1516" w:type="dxa"/>
            <w:tcMar>
              <w:top w:w="60" w:type="dxa"/>
              <w:left w:w="80" w:type="dxa"/>
              <w:bottom w:w="60" w:type="dxa"/>
              <w:right w:w="80" w:type="dxa"/>
            </w:tcMar>
            <w:vAlign w:val="center"/>
          </w:tcPr>
          <w:p w14:paraId="29529B3A" w14:textId="77777777" w:rsidR="004B229F" w:rsidRDefault="004B229F"/>
        </w:tc>
        <w:tc>
          <w:tcPr>
            <w:tcW w:w="1516" w:type="dxa"/>
            <w:tcMar>
              <w:top w:w="60" w:type="dxa"/>
              <w:left w:w="80" w:type="dxa"/>
              <w:bottom w:w="60" w:type="dxa"/>
              <w:right w:w="80" w:type="dxa"/>
            </w:tcMar>
            <w:vAlign w:val="center"/>
          </w:tcPr>
          <w:p w14:paraId="6119C47A" w14:textId="77777777" w:rsidR="004B229F" w:rsidRDefault="004B229F"/>
        </w:tc>
        <w:tc>
          <w:tcPr>
            <w:tcW w:w="1516" w:type="dxa"/>
            <w:tcMar>
              <w:top w:w="60" w:type="dxa"/>
              <w:left w:w="80" w:type="dxa"/>
              <w:bottom w:w="60" w:type="dxa"/>
              <w:right w:w="80" w:type="dxa"/>
            </w:tcMar>
            <w:vAlign w:val="center"/>
          </w:tcPr>
          <w:p w14:paraId="3493764E" w14:textId="77777777" w:rsidR="004B229F" w:rsidRDefault="004B229F"/>
        </w:tc>
        <w:tc>
          <w:tcPr>
            <w:tcW w:w="1516" w:type="dxa"/>
            <w:tcMar>
              <w:top w:w="60" w:type="dxa"/>
              <w:left w:w="80" w:type="dxa"/>
              <w:bottom w:w="60" w:type="dxa"/>
              <w:right w:w="80" w:type="dxa"/>
            </w:tcMar>
            <w:vAlign w:val="center"/>
          </w:tcPr>
          <w:p w14:paraId="182E5D17" w14:textId="77777777" w:rsidR="004B229F" w:rsidRDefault="004B229F"/>
        </w:tc>
      </w:tr>
      <w:tr w:rsidR="004B229F" w14:paraId="703EB449" w14:textId="77777777">
        <w:tblPrEx>
          <w:tblCellMar>
            <w:top w:w="0" w:type="dxa"/>
            <w:bottom w:w="0" w:type="dxa"/>
          </w:tblCellMar>
        </w:tblPrEx>
        <w:tc>
          <w:tcPr>
            <w:tcW w:w="1516" w:type="dxa"/>
            <w:tcMar>
              <w:top w:w="60" w:type="dxa"/>
              <w:left w:w="80" w:type="dxa"/>
              <w:bottom w:w="60" w:type="dxa"/>
              <w:right w:w="80" w:type="dxa"/>
            </w:tcMar>
            <w:vAlign w:val="center"/>
          </w:tcPr>
          <w:p w14:paraId="6F0B5963" w14:textId="77777777" w:rsidR="004B229F" w:rsidRDefault="00000000">
            <w:r>
              <w:rPr>
                <w:color w:val="000000"/>
                <w:sz w:val="18"/>
                <w:szCs w:val="18"/>
              </w:rPr>
              <w:t>Q5</w:t>
            </w:r>
          </w:p>
        </w:tc>
        <w:tc>
          <w:tcPr>
            <w:tcW w:w="1516" w:type="dxa"/>
            <w:tcMar>
              <w:top w:w="60" w:type="dxa"/>
              <w:left w:w="80" w:type="dxa"/>
              <w:bottom w:w="60" w:type="dxa"/>
              <w:right w:w="80" w:type="dxa"/>
            </w:tcMar>
            <w:vAlign w:val="center"/>
          </w:tcPr>
          <w:p w14:paraId="21710E79" w14:textId="77777777" w:rsidR="004B229F" w:rsidRDefault="004B229F"/>
        </w:tc>
        <w:tc>
          <w:tcPr>
            <w:tcW w:w="1516" w:type="dxa"/>
            <w:tcMar>
              <w:top w:w="60" w:type="dxa"/>
              <w:left w:w="80" w:type="dxa"/>
              <w:bottom w:w="60" w:type="dxa"/>
              <w:right w:w="80" w:type="dxa"/>
            </w:tcMar>
            <w:vAlign w:val="center"/>
          </w:tcPr>
          <w:p w14:paraId="0944F3D4" w14:textId="77777777" w:rsidR="004B229F" w:rsidRDefault="004B229F"/>
        </w:tc>
        <w:tc>
          <w:tcPr>
            <w:tcW w:w="1516" w:type="dxa"/>
            <w:tcMar>
              <w:top w:w="60" w:type="dxa"/>
              <w:left w:w="80" w:type="dxa"/>
              <w:bottom w:w="60" w:type="dxa"/>
              <w:right w:w="80" w:type="dxa"/>
            </w:tcMar>
            <w:vAlign w:val="center"/>
          </w:tcPr>
          <w:p w14:paraId="354AC483" w14:textId="77777777" w:rsidR="004B229F" w:rsidRDefault="004B229F"/>
        </w:tc>
        <w:tc>
          <w:tcPr>
            <w:tcW w:w="1516" w:type="dxa"/>
            <w:tcMar>
              <w:top w:w="60" w:type="dxa"/>
              <w:left w:w="80" w:type="dxa"/>
              <w:bottom w:w="60" w:type="dxa"/>
              <w:right w:w="80" w:type="dxa"/>
            </w:tcMar>
            <w:vAlign w:val="center"/>
          </w:tcPr>
          <w:p w14:paraId="1061ADC9" w14:textId="77777777" w:rsidR="004B229F" w:rsidRDefault="004B229F"/>
        </w:tc>
        <w:tc>
          <w:tcPr>
            <w:tcW w:w="1516" w:type="dxa"/>
            <w:tcMar>
              <w:top w:w="60" w:type="dxa"/>
              <w:left w:w="80" w:type="dxa"/>
              <w:bottom w:w="60" w:type="dxa"/>
              <w:right w:w="80" w:type="dxa"/>
            </w:tcMar>
            <w:vAlign w:val="center"/>
          </w:tcPr>
          <w:p w14:paraId="0E54A37B" w14:textId="77777777" w:rsidR="004B229F" w:rsidRDefault="004B229F"/>
        </w:tc>
        <w:tc>
          <w:tcPr>
            <w:tcW w:w="1516" w:type="dxa"/>
            <w:tcMar>
              <w:top w:w="60" w:type="dxa"/>
              <w:left w:w="80" w:type="dxa"/>
              <w:bottom w:w="60" w:type="dxa"/>
              <w:right w:w="80" w:type="dxa"/>
            </w:tcMar>
            <w:vAlign w:val="center"/>
          </w:tcPr>
          <w:p w14:paraId="601066A5" w14:textId="77777777" w:rsidR="004B229F" w:rsidRDefault="004B229F"/>
        </w:tc>
      </w:tr>
    </w:tbl>
    <w:p w14:paraId="30974763" w14:textId="77777777" w:rsidR="00FC34AC" w:rsidRDefault="00FC34AC"/>
    <w:sectPr w:rsidR="00FC34A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81A72"/>
    <w:multiLevelType w:val="hybridMultilevel"/>
    <w:tmpl w:val="610EAEE8"/>
    <w:lvl w:ilvl="0" w:tplc="8694797A">
      <w:start w:val="1"/>
      <w:numFmt w:val="bullet"/>
      <w:lvlText w:val="●"/>
      <w:lvlJc w:val="left"/>
      <w:pPr>
        <w:ind w:left="720" w:hanging="360"/>
      </w:pPr>
    </w:lvl>
    <w:lvl w:ilvl="1" w:tplc="C030998A">
      <w:start w:val="1"/>
      <w:numFmt w:val="bullet"/>
      <w:lvlText w:val="○"/>
      <w:lvlJc w:val="left"/>
      <w:pPr>
        <w:ind w:left="1440" w:hanging="360"/>
      </w:pPr>
    </w:lvl>
    <w:lvl w:ilvl="2" w:tplc="B6183B14">
      <w:start w:val="1"/>
      <w:numFmt w:val="bullet"/>
      <w:lvlText w:val="■"/>
      <w:lvlJc w:val="left"/>
      <w:pPr>
        <w:ind w:left="2160" w:hanging="360"/>
      </w:pPr>
    </w:lvl>
    <w:lvl w:ilvl="3" w:tplc="C8B6AA7A">
      <w:start w:val="1"/>
      <w:numFmt w:val="bullet"/>
      <w:lvlText w:val="●"/>
      <w:lvlJc w:val="left"/>
      <w:pPr>
        <w:ind w:left="2880" w:hanging="360"/>
      </w:pPr>
    </w:lvl>
    <w:lvl w:ilvl="4" w:tplc="97AC4490">
      <w:start w:val="1"/>
      <w:numFmt w:val="bullet"/>
      <w:lvlText w:val="○"/>
      <w:lvlJc w:val="left"/>
      <w:pPr>
        <w:ind w:left="3600" w:hanging="360"/>
      </w:pPr>
    </w:lvl>
    <w:lvl w:ilvl="5" w:tplc="C1346700">
      <w:start w:val="1"/>
      <w:numFmt w:val="bullet"/>
      <w:lvlText w:val="■"/>
      <w:lvlJc w:val="left"/>
      <w:pPr>
        <w:ind w:left="4320" w:hanging="360"/>
      </w:pPr>
    </w:lvl>
    <w:lvl w:ilvl="6" w:tplc="DF5A1878">
      <w:start w:val="1"/>
      <w:numFmt w:val="bullet"/>
      <w:lvlText w:val="●"/>
      <w:lvlJc w:val="left"/>
      <w:pPr>
        <w:ind w:left="5040" w:hanging="360"/>
      </w:pPr>
    </w:lvl>
    <w:lvl w:ilvl="7" w:tplc="261C4454">
      <w:start w:val="1"/>
      <w:numFmt w:val="bullet"/>
      <w:lvlText w:val="●"/>
      <w:lvlJc w:val="left"/>
      <w:pPr>
        <w:ind w:left="5760" w:hanging="360"/>
      </w:pPr>
    </w:lvl>
    <w:lvl w:ilvl="8" w:tplc="C7907B28">
      <w:start w:val="1"/>
      <w:numFmt w:val="bullet"/>
      <w:lvlText w:val="●"/>
      <w:lvlJc w:val="left"/>
      <w:pPr>
        <w:ind w:left="6480" w:hanging="360"/>
      </w:pPr>
    </w:lvl>
  </w:abstractNum>
  <w:num w:numId="1" w16cid:durableId="907422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29F"/>
    <w:rsid w:val="004B229F"/>
    <w:rsid w:val="00C10B5F"/>
    <w:rsid w:val="00D02D2B"/>
    <w:rsid w:val="00FC3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D7941"/>
  <w15:docId w15:val="{09F68D3C-5ADA-473A-82DF-929BA124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2845</Words>
  <Characters>16222</Characters>
  <Application>Microsoft Office Word</Application>
  <DocSecurity>0</DocSecurity>
  <Lines>135</Lines>
  <Paragraphs>38</Paragraphs>
  <ScaleCrop>false</ScaleCrop>
  <Company/>
  <LinksUpToDate>false</LinksUpToDate>
  <CharactersWithSpaces>19029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2</cp:revision>
  <dcterms:created xsi:type="dcterms:W3CDTF">2026-08-05T05:23:00Z</dcterms:created>
  <dcterms:modified xsi:type="dcterms:W3CDTF">2026-08-05T05:29:00Z</dcterms:modified>
</cp:coreProperties>
</file>