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widowControl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für</w:t>
      </w:r>
    </w:p>
    <w:p>
      <w:pPr>
        <w:pStyle w:val="para4"/>
        <w:widowControl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physikalische Berechnungen nach der </w:t>
      </w:r>
    </w:p>
    <w:p>
      <w:pPr>
        <w:pStyle w:val="para4"/>
        <w:widowControl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Methode der Finiten Element</w:t>
      </w:r>
    </w:p>
    <w:p>
      <w:pPr>
        <w:pStyle w:val="para4"/>
        <w:widowControl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para4"/>
        <w:widowControl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 Berechnungen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Prof. Dr.-Ing. Karl E. Beucke, Ettersburg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2020</w:t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Benutzerhandbuch</w:t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Im Startfenster des Programms befindet sich die Auswahl für 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Tragwerksberechnungen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Wärmeströmungsberechnungen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Elastizitätsberechnungen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Das allgemeine weitere Vorgehen erfolgt immer in den Schritten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Modelldaten einlesen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Modelldaten anzeigen, d.h alphanumerische Ausgabe in Tabellenform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Modelldaten visualisieren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Berechnung ausführen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Berechnungsergebnisse anzeigen, d.h alphanumerische Ausgabe in Tabellenform</w:t>
      </w:r>
    </w:p>
    <w:p>
      <w:pPr>
        <w:numPr>
          <w:ilvl w:val="0"/>
          <w:numId w:val="1"/>
        </w:numPr>
        <w:ind w:left="360" w:hanging="360"/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Berechnungsergebnisse visualisieren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Zur Verfügung stehen einerseits statische bzw. stationäre Berechnungsverfahren und je nach Anwendungsgebiet auch dynamische bzw. instationäre Zeitschrittverfahren.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Zudem kann die Eigenlösung der eingelesenen physikalischen Systeme bestimmt werden, d.h. die Eigenwerte und Eigenvektoren.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Das Einlesen der Modelldaten erfolgt aus einer Textdatei, da es in der Regel einfacher und schneller ist, die Eingabedaten in einer Eingabedatei festzulegen als  in Nutzerdialogen.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Allerdings wird es auch unterstützt, die angezeigten Modelldaten zu editieren und damit die Modelldaten für Folgeberechnungen zu ändern.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zugehörigen Daten für dynamische und instationäre Berechnungen können jeweils getrennt angezeigt und auch editiert werden.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Die Berechnungsergebnisse können entweder alphanumerisch in Tabellenform angezeigt werden oder separat visualisiert werden.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Modelldaten eingeben und einlesen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Standardmäßig werden die Modelldaten aus einer Datei in einem input-Ordner der jeweiligen Anwendung eingelesen. Der Speicherort der Eingabedatei kann aber auch vom Anwender spezifisch ausgewählt werden. Standardmäßig ist der Dateityp </w:t>
      </w:r>
      <w:r>
        <w:rPr>
          <w:rFonts w:ascii="Arial" w:hAnsi="Arial" w:eastAsia="Arial" w:cs="Arial"/>
          <w:i/>
          <w:iCs/>
          <w:sz w:val="24"/>
          <w:szCs w:val="24"/>
        </w:rPr>
        <w:t>„.inp</w:t>
      </w:r>
      <w:r>
        <w:rPr>
          <w:rFonts w:ascii="Arial" w:hAnsi="Arial" w:eastAsia="Arial" w:cs="Arial"/>
          <w:sz w:val="24"/>
          <w:szCs w:val="24"/>
        </w:rPr>
        <w:t>“ für die Eingabedatei vorgesehen.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Zur Eingabe der Modelldaten kann ein beliebiger Texteditor benutzt werden.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Identifikatoren kennzeichnen jeweils einen Bereich von Eingabewerten, die zeilenweise festgelegt werden. Unterschiedliche Eingabe</w:t>
      </w:r>
      <w:r>
        <w:rPr>
          <w:rFonts w:ascii="Arial" w:hAnsi="Arial" w:eastAsia="Arial" w:cs="Arial"/>
          <w:b/>
          <w:bCs/>
          <w:sz w:val="24"/>
          <w:szCs w:val="24"/>
        </w:rPr>
        <w:t>bereich</w:t>
      </w:r>
      <w:r>
        <w:rPr>
          <w:rFonts w:ascii="Arial" w:hAnsi="Arial" w:eastAsia="Arial" w:cs="Arial"/>
          <w:sz w:val="24"/>
          <w:szCs w:val="24"/>
        </w:rPr>
        <w:t>e kennzeichnen thematisch zusammenhängende Eingaben. Das Ende eines Eingabe</w:t>
      </w:r>
      <w:r>
        <w:rPr>
          <w:rFonts w:ascii="Arial" w:hAnsi="Arial" w:eastAsia="Arial" w:cs="Arial"/>
          <w:b/>
          <w:bCs/>
          <w:sz w:val="24"/>
          <w:szCs w:val="24"/>
        </w:rPr>
        <w:t>bereich</w:t>
      </w:r>
      <w:r>
        <w:rPr>
          <w:rFonts w:ascii="Arial" w:hAnsi="Arial" w:eastAsia="Arial" w:cs="Arial"/>
          <w:sz w:val="24"/>
          <w:szCs w:val="24"/>
        </w:rPr>
        <w:t>s ist durch eine Leerzeile festgelegt.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Einzelne, unterschiedliche Eingabe</w:t>
      </w:r>
      <w:r>
        <w:rPr>
          <w:rFonts w:ascii="Arial" w:hAnsi="Arial" w:eastAsia="Arial" w:cs="Arial"/>
          <w:b/>
          <w:bCs/>
          <w:sz w:val="24"/>
          <w:szCs w:val="24"/>
        </w:rPr>
        <w:t>werte</w:t>
      </w:r>
      <w:r>
        <w:rPr>
          <w:rFonts w:ascii="Arial" w:hAnsi="Arial" w:eastAsia="Arial" w:cs="Arial"/>
          <w:sz w:val="24"/>
          <w:szCs w:val="24"/>
        </w:rPr>
        <w:t xml:space="preserve"> jeweils werden durch einen Tabulator getrennt.</w:t>
      </w:r>
      <w:r>
        <w:br w:type="page"/>
      </w:r>
    </w:p>
    <w:p>
      <w:pPr>
        <w:spacing w:after="120" w:line="288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Anwendungsübergreifende Eingabewerte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ModellName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kennzeichnet die Festlegung eines spezifischen Namens für die Modelldaten in der Folgezeile.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Raumdimension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kennzeichnet die modellübergreifende Festlegung einer zwei- oder dreidimensionalen Modellierung in der Folgezeile und getrennt durch einen Tabulator die modellübergreifende Anzahl der Knotenfeiheitsgrade.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Identifikator </w:t>
      </w:r>
    </w:p>
    <w:p>
      <w:pPr>
        <w:numPr>
          <w:ilvl w:val="0"/>
          <w:numId w:val="2"/>
        </w:numPr>
        <w:ind w:left="360" w:hanging="360"/>
        <w:spacing w:after="120" w:line="288" w:lineRule="auto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  <w:t>Knoten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erlaubt in der Folgezeile entweder die Eingabe einer spezifischen Anzahl von Knotenfreiheitsgraden für Folgeknoten oder die Angabe eines eindeutigen Knotenidentifikators und die Knotenkoordinaten in Abhängigkeit der gewählten Raumdimension.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Folglich können Folgezeilen entweder 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einen Wert für die Anzahl der Knotenfreiheitsgrade oder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zwei, drei oder vier Werte für Knotenidentifikator, x- und y- und z-Koordinate des Knotens enthalten.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 der einfachsten Form sieht folglich der allgemeine Inhalt einer Eingabedatei für Modell- und Knotenwerte wie folgt aus: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ModellName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2DOF Anfangstemperatur, keine Anregung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Raumdimension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2</w:t>
        <w:tab/>
        <w:t>1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n0</w:t>
        <w:tab/>
        <w:t>2</w:t>
        <w:tab/>
        <w:t>0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n1</w:t>
        <w:tab/>
        <w:t>1</w:t>
        <w:tab/>
        <w:t>0</w:t>
      </w:r>
    </w:p>
    <w:p>
      <w:pPr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Der Modellname ist definiert als „2DOF Anfangstemperatur, keine Anregung“. Die Raumdimension ist definiert mit </w:t>
      </w:r>
      <w:r>
        <w:rPr>
          <w:rFonts w:ascii="Arial" w:hAnsi="Arial" w:eastAsia="Arial" w:cs="Arial"/>
          <w:i/>
          <w:iCs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D und </w:t>
      </w:r>
      <w:r>
        <w:rPr>
          <w:rFonts w:ascii="Arial" w:hAnsi="Arial" w:eastAsia="Arial" w:cs="Arial"/>
          <w:i/>
          <w:iCs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 Knotenfreiheitsgrad für eine Wärmeberechnung. Zwei Knoten sind definiert mit den eindeutigen Identifikatoren 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n0 </w:t>
      </w:r>
      <w:r>
        <w:rPr>
          <w:rFonts w:ascii="Arial" w:hAnsi="Arial" w:eastAsia="Arial" w:cs="Arial"/>
          <w:sz w:val="24"/>
          <w:szCs w:val="24"/>
        </w:rPr>
        <w:t xml:space="preserve">und </w:t>
      </w:r>
      <w:r>
        <w:rPr>
          <w:rFonts w:ascii="Arial" w:hAnsi="Arial" w:eastAsia="Arial" w:cs="Arial"/>
          <w:i/>
          <w:iCs/>
          <w:sz w:val="24"/>
          <w:szCs w:val="24"/>
        </w:rPr>
        <w:t>n1</w:t>
      </w:r>
      <w:r>
        <w:rPr>
          <w:rFonts w:ascii="Arial" w:hAnsi="Arial" w:eastAsia="Arial" w:cs="Arial"/>
          <w:sz w:val="24"/>
          <w:szCs w:val="24"/>
        </w:rPr>
        <w:t xml:space="preserve"> und den x,y-Koordinaten (2,0) bzw. (1,0).</w:t>
      </w:r>
      <w:r>
        <w:br w:type="page"/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Regelmäßig verteilte Knoten können auch generiert werden. Hierfür stehen folgende Identifikatoren zur Verfügung: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>Knotengruppe</w:t>
      </w:r>
      <w:r>
        <w:rPr>
          <w:rFonts w:ascii="Arial" w:hAnsi="Arial" w:eastAsia="Arial" w:cs="Arial"/>
          <w:sz w:val="24"/>
          <w:szCs w:val="24"/>
        </w:rPr>
        <w:t xml:space="preserve"> ist definiert durch einen Anfangsidentifikator definiert in der 1. Zeile, gefolgt von einem 6-stelligenZähler und einer Folge von Koordinaten. Knoten n000000 mit (0, 3) und n000001 mit (0,2) werden generiert durch: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Knotengruppe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3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</w:t>
        <w:tab/>
        <w:t>2</w:t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after="12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äquidistantes Knotennetz </w:t>
      </w:r>
      <w:r>
        <w:rPr>
          <w:rFonts w:ascii="Arial" w:hAnsi="Arial" w:eastAsia="Arial" w:cs="Arial"/>
          <w:sz w:val="24"/>
          <w:szCs w:val="24"/>
        </w:rPr>
        <w:t>ist definiert durch eine Zeile mit jeweils 3 Werten für Startkoordinate, Inkrement und Anzahl Wiederholungen in x,y und z. Die eindeutigen Identifikatoren werden generiert durch Inkrementierung von jeweils 2 Stellen in x, y und z.</w:t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1D</w:t>
      </w:r>
      <w:r>
        <w:rPr>
          <w:rFonts w:ascii="Arial" w:hAnsi="Arial" w:eastAsia="Arial" w:cs="Arial"/>
          <w:sz w:val="24"/>
          <w:szCs w:val="24"/>
        </w:rPr>
        <w:t xml:space="preserve"> werden 12 Knoten N000000 bis N000011 von x=0. mit Inkrement 2. generiert durch: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Aequidistantes Knotennetz</w:t>
      </w:r>
    </w:p>
    <w:p>
      <w:pPr>
        <w:spacing w:after="120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N</w:t>
        <w:tab/>
        <w:t>0.</w:t>
        <w:tab/>
        <w:t>2.</w:t>
        <w:tab/>
        <w:t>12</w:t>
      </w:r>
    </w:p>
    <w:p>
      <w:pPr>
        <w:spacing w:after="120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 w:after="60" w:line="288" w:lineRule="auto"/>
        <w:tabs defTabSz="708">
          <w:tab w:val="left" w:pos="3175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2D</w:t>
      </w:r>
      <w:r>
        <w:rPr>
          <w:rFonts w:ascii="Arial" w:hAnsi="Arial" w:eastAsia="Arial" w:cs="Arial"/>
          <w:sz w:val="24"/>
          <w:szCs w:val="24"/>
        </w:rPr>
        <w:t xml:space="preserve"> wird ein Netz von 3*3 Knoten mit gleichem Knotenabstand definiert durch</w:t>
        <w:br w:type="textWrapping"/>
        <w:t>3 Knoten A000000 bis A000002 von x=0. und y=1. mit Inkrement 1.,</w:t>
        <w:br w:type="textWrapping"/>
        <w:t>3 Knoten A001000 bis A001002 von x=1. und y=1. mit Inkrement 1. und weitere</w:t>
        <w:br w:type="textWrapping"/>
        <w:t>3 Knoten A002000 bis A002002 von x=2. und y=1. mit Inkrement 1.</w:t>
        <w:br w:type="textWrapping"/>
        <w:t>generiert durch: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Aequidistantes Knotennetz</w:t>
      </w:r>
    </w:p>
    <w:p>
      <w:pPr>
        <w:spacing w:after="120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</w:t>
        <w:tab/>
        <w:t>0.</w:t>
        <w:tab/>
        <w:t>1.</w:t>
        <w:tab/>
        <w:t>3</w:t>
        <w:tab/>
        <w:t>1.</w:t>
        <w:tab/>
        <w:t>1.</w:t>
        <w:tab/>
        <w:t>3</w:t>
      </w:r>
    </w:p>
    <w:p>
      <w:pPr>
        <w:spacing w:after="120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In </w:t>
      </w:r>
      <w:r>
        <w:rPr>
          <w:rFonts w:ascii="Arial" w:hAnsi="Arial" w:eastAsia="Arial" w:cs="Arial"/>
          <w:b/>
          <w:bCs/>
          <w:sz w:val="24"/>
          <w:szCs w:val="24"/>
        </w:rPr>
        <w:t>3D</w:t>
      </w:r>
      <w:r>
        <w:rPr>
          <w:rFonts w:ascii="Arial" w:hAnsi="Arial" w:eastAsia="Arial" w:cs="Arial"/>
          <w:sz w:val="24"/>
          <w:szCs w:val="24"/>
        </w:rPr>
        <w:t xml:space="preserve"> wird ein Netz von 3*3*3 Knoten definiert durch jeweils 3 Knoten:</w:t>
        <w:br w:type="textWrapping"/>
        <w:t>Z000000 bis Z000002 von x=0., y=1. und z=2. mit Inkrement 1.,</w:t>
        <w:br w:type="textWrapping"/>
        <w:t>Z000100 bis Z000102 von x=0., y=2. und z=2. mit Inkrement 1.,</w:t>
        <w:br w:type="textWrapping"/>
        <w:t>Z000200 bis Z000202 von x=0., y=3. und z=2. mit Inkrement 1.,</w:t>
        <w:br w:type="textWrapping"/>
        <w:t>Z010000 bis Z010002 von x=1., y=1. und z=2. mit Inkrement 1.,</w:t>
        <w:br w:type="textWrapping"/>
        <w:t>Z010100 bis Z010102 von x=1., y=2. und z=2. mit Inkrement 1.,</w:t>
        <w:br w:type="textWrapping"/>
        <w:t>Z010200 bis Z010202 von x=1., y=3. und z=2. mit Inkrement 1.,</w:t>
        <w:br w:type="textWrapping"/>
        <w:t>Z020000 bis Z020002 von x=2., y=1. und z=2. mit Inkrement 1.,</w:t>
        <w:br w:type="textWrapping"/>
        <w:t>Z020100 bis Z020102 von x=2., y=2. und z=2. mit Inkrement 1.,</w:t>
        <w:br w:type="textWrapping"/>
        <w:t>Z020200 bis Z020202 von x=2., y=3. und z=2. mit Inkrement 1.</w:t>
        <w:br w:type="textWrapping"/>
        <w:t>generiert durch: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Aequidistantes Knotennetz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Z</w:t>
        <w:tab/>
        <w:t>0.</w:t>
        <w:tab/>
        <w:t>1.</w:t>
        <w:tab/>
        <w:t>3</w:t>
        <w:tab/>
        <w:t>1.</w:t>
        <w:tab/>
        <w:t>1.</w:t>
        <w:tab/>
        <w:t>3</w:t>
        <w:tab/>
        <w:t>2.</w:t>
        <w:tab/>
        <w:t>1.</w:t>
        <w:tab/>
        <w:t>3</w:t>
      </w:r>
    </w:p>
    <w:p>
      <w:pPr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p>
      <w:pPr>
        <w:spacing w:after="60" w:line="28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Eine </w:t>
      </w:r>
      <w:r>
        <w:rPr>
          <w:rFonts w:ascii="Arial" w:hAnsi="Arial" w:eastAsia="Arial" w:cs="Arial"/>
          <w:b/>
          <w:bCs/>
          <w:sz w:val="24"/>
          <w:szCs w:val="24"/>
        </w:rPr>
        <w:t>Variables Knotennetz</w:t>
      </w:r>
      <w:r>
        <w:rPr>
          <w:rFonts w:ascii="Arial" w:hAnsi="Arial" w:eastAsia="Arial" w:cs="Arial"/>
          <w:sz w:val="24"/>
          <w:szCs w:val="24"/>
        </w:rPr>
        <w:t xml:space="preserve"> ist definiert durch eine Zeile mit regelmäßigen Knotenabständen und einer weiteren Zeile mit einem Anfangsidentifikator und dem Koordinatenursprung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Variables Knotennetz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0.</w:t>
        <w:tab/>
        <w:t>1.</w:t>
        <w:tab/>
        <w:t>3.</w:t>
        <w:tab/>
        <w:t>6.</w:t>
      </w:r>
    </w:p>
    <w:p>
      <w:pPr>
        <w:rPr>
          <w:rFonts w:ascii="Arial" w:hAnsi="Arial" w:eastAsia="Arial" w:cs="Arial"/>
          <w:i/>
          <w:iCs/>
        </w:rPr>
      </w:pPr>
      <w:r>
        <w:rPr>
          <w:rFonts w:ascii="Arial" w:hAnsi="Arial" w:eastAsia="Arial" w:cs="Arial"/>
          <w:i/>
          <w:iCs/>
        </w:rPr>
        <w:t>X</w:t>
        <w:tab/>
        <w:t>0.</w:t>
        <w:tab/>
        <w:t>0.</w:t>
      </w:r>
      <w:r>
        <w:br w:type="page"/>
      </w:r>
    </w:p>
    <w:p>
      <w:pPr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i/>
          <w:i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4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599337787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Überschrift ohne Nummer zentriert"/>
    <w:qFormat/>
    <w:basedOn w:val="para0"/>
    <w:pPr>
      <w:spacing w:line="288" w:lineRule="auto"/>
      <w:jc w:val="center"/>
      <w:suppressAutoHyphens/>
      <w:hyphenationLines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677721856, 0, 15132390"/>
    </w:pPr>
    <w:rPr>
      <w:rFonts w:ascii="Arial" w:hAnsi="Arial" w:eastAsia="Times New Roman" w:cs="Arial"/>
      <w:b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Überschrift ohne Nummer zentriert"/>
    <w:qFormat/>
    <w:basedOn w:val="para0"/>
    <w:pPr>
      <w:spacing w:line="288" w:lineRule="auto"/>
      <w:jc w:val="center"/>
      <w:suppressAutoHyphens/>
      <w:hyphenationLines w:val="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E6E6E6" tmshd="1677721856, 0, 15132390"/>
    </w:pPr>
    <w:rPr>
      <w:rFonts w:ascii="Arial" w:hAnsi="Arial" w:eastAsia="Times New Roman" w:cs="Arial"/>
      <w:b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Karl Beucke</cp:lastModifiedBy>
  <cp:revision>10</cp:revision>
  <dcterms:created xsi:type="dcterms:W3CDTF">2017-10-10T09:54:14Z</dcterms:created>
  <dcterms:modified xsi:type="dcterms:W3CDTF">2020-09-05T20:29:47Z</dcterms:modified>
</cp:coreProperties>
</file>