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0" w:rsidRDefault="00C00F9B">
      <w:pPr>
        <w:pStyle w:val="Default"/>
        <w:rPr>
          <w:rFonts w:cs="Angsana New"/>
          <w:color w:val="auto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75pt;height:108pt">
            <v:imagedata r:id="rId5" o:title=""/>
          </v:shape>
        </w:pict>
      </w:r>
      <w:r w:rsidR="007E4DC0">
        <w:rPr>
          <w:rFonts w:cs="Angsana New"/>
          <w:b/>
          <w:bCs/>
          <w:color w:val="auto"/>
          <w:sz w:val="32"/>
          <w:szCs w:val="32"/>
        </w:rPr>
        <w:t xml:space="preserve">Learning Plan – Unit D0906 </w:t>
      </w:r>
    </w:p>
    <w:p w:rsidR="007E4DC0" w:rsidRDefault="007E4DC0">
      <w:pPr>
        <w:pStyle w:val="CM4"/>
        <w:spacing w:line="396" w:lineRule="atLeast"/>
        <w:ind w:left="5168"/>
      </w:pPr>
      <w:r>
        <w:rPr>
          <w:b/>
          <w:bCs/>
        </w:rPr>
        <w:t xml:space="preserve">Building Design &amp; Construction Technology </w:t>
      </w:r>
    </w:p>
    <w:p w:rsidR="007E4DC0" w:rsidRDefault="007E4DC0">
      <w:pPr>
        <w:pStyle w:val="CM5"/>
        <w:spacing w:line="396" w:lineRule="atLeast"/>
        <w:jc w:val="center"/>
        <w:rPr>
          <w:rFonts w:cs="Arial"/>
        </w:rPr>
      </w:pPr>
      <w:r>
        <w:rPr>
          <w:rFonts w:cs="Arial"/>
        </w:rPr>
        <w:t xml:space="preserve">W615 Diploma of Building &amp; Construction (Building) W615 Diploma of Building &amp; Construction (Builder’s Registration) </w:t>
      </w:r>
    </w:p>
    <w:p w:rsidR="007E4DC0" w:rsidRDefault="00700836">
      <w:pPr>
        <w:pStyle w:val="CM5"/>
        <w:spacing w:line="396" w:lineRule="atLeast"/>
        <w:jc w:val="center"/>
        <w:rPr>
          <w:rFonts w:cs="Arial"/>
        </w:rPr>
      </w:pPr>
      <w:r>
        <w:rPr>
          <w:rFonts w:cs="Arial"/>
          <w:b/>
          <w:bCs/>
        </w:rPr>
        <w:t>SEMESTER 2</w:t>
      </w:r>
      <w:r w:rsidR="007E4DC0">
        <w:rPr>
          <w:rFonts w:cs="Arial"/>
          <w:b/>
          <w:bCs/>
        </w:rPr>
        <w:t xml:space="preserve"> - </w:t>
      </w:r>
      <w:r>
        <w:rPr>
          <w:rFonts w:cs="Arial"/>
          <w:b/>
          <w:bCs/>
        </w:rPr>
        <w:t>2012</w:t>
      </w:r>
      <w:r w:rsidR="007E4DC0">
        <w:rPr>
          <w:rFonts w:cs="Arial"/>
          <w:b/>
          <w:bCs/>
        </w:rPr>
        <w:t xml:space="preserve"> </w:t>
      </w:r>
    </w:p>
    <w:tbl>
      <w:tblPr>
        <w:tblW w:w="9915" w:type="dxa"/>
        <w:tblLook w:val="0000" w:firstRow="0" w:lastRow="0" w:firstColumn="0" w:lastColumn="0" w:noHBand="0" w:noVBand="0"/>
      </w:tblPr>
      <w:tblGrid>
        <w:gridCol w:w="2713"/>
        <w:gridCol w:w="7202"/>
      </w:tblGrid>
      <w:tr w:rsidR="007E4DC0">
        <w:trPr>
          <w:trHeight w:val="893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Unit titles and national codes </w:t>
            </w:r>
            <w:r>
              <w:rPr>
                <w:color w:val="FF0000"/>
                <w:sz w:val="22"/>
                <w:szCs w:val="22"/>
              </w:rPr>
              <w:t xml:space="preserve">(SIN )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Apply principles of OHS risk management (D0906) </w:t>
            </w:r>
          </w:p>
        </w:tc>
      </w:tr>
      <w:tr w:rsidR="007E4DC0">
        <w:trPr>
          <w:trHeight w:val="770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Lecturer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6AF" w:rsidRDefault="008C46AF">
            <w:pPr>
              <w:pStyle w:val="Default"/>
              <w:rPr>
                <w:sz w:val="22"/>
                <w:szCs w:val="22"/>
              </w:rPr>
            </w:pPr>
          </w:p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Trevor Parton</w:t>
            </w:r>
            <w:r w:rsidR="0070083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 James Pusey</w:t>
            </w:r>
            <w:r w:rsidR="0070083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 Karl Boeing </w:t>
            </w:r>
          </w:p>
        </w:tc>
      </w:tr>
      <w:tr w:rsidR="007E4DC0">
        <w:trPr>
          <w:trHeight w:val="838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C1681" w:rsidRDefault="007E4DC0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trevor.parton@central.wa.edu.au </w:t>
            </w:r>
          </w:p>
          <w:p w:rsidR="007E4DC0" w:rsidRDefault="00CC0798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j</w:t>
            </w:r>
            <w:r w:rsidR="007E4DC0">
              <w:rPr>
                <w:rFonts w:ascii="Times New Roman" w:hAnsi="Times New Roman" w:cs="Times New Roman"/>
                <w:color w:val="0000FF"/>
              </w:rPr>
              <w:t xml:space="preserve">ames.pusey@central.wa.edu.au </w:t>
            </w:r>
          </w:p>
          <w:p w:rsidR="00700836" w:rsidRDefault="00CC0798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</w:rPr>
              <w:t>k</w:t>
            </w:r>
            <w:r w:rsidR="00700836">
              <w:rPr>
                <w:rFonts w:ascii="Times New Roman" w:hAnsi="Times New Roman" w:cs="Times New Roman"/>
                <w:color w:val="0000FF"/>
              </w:rPr>
              <w:t>arl.boeing</w:t>
            </w:r>
            <w:proofErr w:type="spellEnd"/>
            <w:r w:rsidR="00700836">
              <w:rPr>
                <w:rFonts w:ascii="Times New Roman" w:hAnsi="Times New Roman" w:cs="Times New Roman"/>
                <w:color w:val="0000FF"/>
              </w:rPr>
              <w:t>@ central.wa.edu.au</w:t>
            </w:r>
          </w:p>
        </w:tc>
      </w:tr>
      <w:tr w:rsidR="007E4DC0" w:rsidTr="008C46AF">
        <w:trPr>
          <w:trHeight w:val="853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</w:p>
        </w:tc>
        <w:tc>
          <w:tcPr>
            <w:tcW w:w="72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Trevor </w:t>
            </w:r>
            <w:r>
              <w:rPr>
                <w:sz w:val="22"/>
                <w:szCs w:val="22"/>
              </w:rPr>
              <w:tab/>
              <w:t xml:space="preserve">9202 4958 </w:t>
            </w:r>
          </w:p>
          <w:p w:rsidR="007E4DC0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Jim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8C46AF">
              <w:rPr>
                <w:sz w:val="22"/>
                <w:szCs w:val="22"/>
              </w:rPr>
              <w:t>9202 4399</w:t>
            </w:r>
          </w:p>
          <w:p w:rsidR="007E4DC0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Karl Boeing</w:t>
            </w:r>
            <w:r>
              <w:rPr>
                <w:sz w:val="22"/>
                <w:szCs w:val="22"/>
              </w:rPr>
              <w:tab/>
              <w:t>9202 4398</w:t>
            </w:r>
          </w:p>
        </w:tc>
      </w:tr>
      <w:tr w:rsidR="007E4DC0">
        <w:trPr>
          <w:trHeight w:val="770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Consultation details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6AF" w:rsidRDefault="008C46AF" w:rsidP="00700836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700836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shown on enrolment form</w:t>
            </w:r>
          </w:p>
        </w:tc>
      </w:tr>
      <w:tr w:rsidR="007E4DC0" w:rsidRPr="008C46AF">
        <w:trPr>
          <w:trHeight w:val="51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Venue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Pr="00CC0798" w:rsidRDefault="007E4DC0">
            <w:pPr>
              <w:pStyle w:val="Default"/>
              <w:rPr>
                <w:sz w:val="12"/>
                <w:szCs w:val="12"/>
                <w:lang w:val="fr-FR"/>
              </w:rPr>
            </w:pPr>
          </w:p>
          <w:p w:rsidR="00700836" w:rsidRPr="008C46AF" w:rsidRDefault="0070083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</w:rPr>
              <w:t>As shown on enrolment form</w:t>
            </w:r>
          </w:p>
        </w:tc>
      </w:tr>
    </w:tbl>
    <w:p w:rsidR="007E4DC0" w:rsidRPr="008C46AF" w:rsidRDefault="007E4DC0">
      <w:pPr>
        <w:pStyle w:val="Default"/>
        <w:rPr>
          <w:rFonts w:cs="Angsana New"/>
          <w:color w:val="auto"/>
          <w:lang w:val="fr-FR"/>
        </w:rPr>
      </w:pPr>
    </w:p>
    <w:tbl>
      <w:tblPr>
        <w:tblW w:w="9915" w:type="dxa"/>
        <w:tblLook w:val="0000" w:firstRow="0" w:lastRow="0" w:firstColumn="0" w:lastColumn="0" w:noHBand="0" w:noVBand="0"/>
      </w:tblPr>
      <w:tblGrid>
        <w:gridCol w:w="2605"/>
        <w:gridCol w:w="7310"/>
      </w:tblGrid>
      <w:tr w:rsidR="007E4DC0">
        <w:trPr>
          <w:trHeight w:val="93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Resources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Internet site ►</w:t>
            </w:r>
            <w:r>
              <w:rPr>
                <w:b/>
                <w:bCs/>
                <w:sz w:val="22"/>
                <w:szCs w:val="22"/>
              </w:rPr>
              <w:t xml:space="preserve">http://mywebct.westone.wa.gov.au </w:t>
            </w:r>
            <w:r>
              <w:rPr>
                <w:sz w:val="18"/>
                <w:szCs w:val="18"/>
              </w:rPr>
              <w:t xml:space="preserve">(Login: user ID, password: DOB,  </w:t>
            </w:r>
            <w:proofErr w:type="spellStart"/>
            <w:r>
              <w:rPr>
                <w:sz w:val="18"/>
                <w:szCs w:val="18"/>
              </w:rPr>
              <w:t>WebCT</w:t>
            </w:r>
            <w:proofErr w:type="spellEnd"/>
            <w:r>
              <w:rPr>
                <w:sz w:val="18"/>
                <w:szCs w:val="18"/>
              </w:rPr>
              <w:t xml:space="preserve">-Blackboard course) </w:t>
            </w:r>
          </w:p>
        </w:tc>
      </w:tr>
      <w:tr w:rsidR="007E4DC0" w:rsidTr="008C46AF">
        <w:trPr>
          <w:trHeight w:val="1699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Elements </w:t>
            </w:r>
            <w:r>
              <w:rPr>
                <w:color w:val="FF0000"/>
                <w:sz w:val="22"/>
                <w:szCs w:val="22"/>
              </w:rPr>
              <w:t xml:space="preserve">or Learning Outcomes 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F9B" w:rsidRPr="00C00F9B" w:rsidRDefault="00C00F9B">
            <w:pPr>
              <w:pStyle w:val="Default"/>
              <w:rPr>
                <w:rFonts w:ascii="Verdana" w:hAnsi="Verdana" w:cs="Verdana"/>
                <w:sz w:val="16"/>
                <w:szCs w:val="16"/>
              </w:rPr>
            </w:pPr>
          </w:p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Access sources of information and data to identify hazards 2. Analyse the work environment to identify hazards 3. Assess risk associated with </w:t>
            </w:r>
            <w:proofErr w:type="spellStart"/>
            <w:r>
              <w:rPr>
                <w:sz w:val="22"/>
                <w:szCs w:val="22"/>
              </w:rPr>
              <w:t>haszards</w:t>
            </w:r>
            <w:proofErr w:type="spellEnd"/>
            <w:r>
              <w:rPr>
                <w:sz w:val="22"/>
                <w:szCs w:val="22"/>
              </w:rPr>
              <w:t xml:space="preserve"> 4. Control risk associated with hazards. 5. Maintain hazard identification and risk control processes 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 xml:space="preserve">Monitor and review risk management </w:t>
            </w:r>
            <w:proofErr w:type="spellStart"/>
            <w:r>
              <w:rPr>
                <w:sz w:val="22"/>
                <w:szCs w:val="22"/>
              </w:rPr>
              <w:t>processesworkplace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7E4DC0" w:rsidTr="008C46AF">
        <w:trPr>
          <w:trHeight w:val="18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Critical aspects of evidence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F9B" w:rsidRPr="00C00F9B" w:rsidRDefault="00C00F9B">
            <w:pPr>
              <w:pStyle w:val="Default"/>
              <w:rPr>
                <w:sz w:val="16"/>
                <w:szCs w:val="16"/>
              </w:rPr>
            </w:pPr>
          </w:p>
          <w:p w:rsidR="007E4DC0" w:rsidRDefault="007E4D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 xml:space="preserve">Evidence of the following is essential: </w:t>
            </w:r>
            <w:r>
              <w:rPr>
                <w:sz w:val="20"/>
                <w:szCs w:val="20"/>
              </w:rPr>
              <w:t>•</w:t>
            </w:r>
            <w:r>
              <w:rPr>
                <w:sz w:val="22"/>
                <w:szCs w:val="22"/>
              </w:rPr>
              <w:t xml:space="preserve">products used in: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application of a risk management approach to identifying hazards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assessing</w:t>
            </w:r>
            <w:proofErr w:type="spellEnd"/>
            <w:r>
              <w:rPr>
                <w:sz w:val="22"/>
                <w:szCs w:val="22"/>
              </w:rPr>
              <w:t xml:space="preserve"> OHS risk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controlling</w:t>
            </w:r>
            <w:proofErr w:type="spellEnd"/>
            <w:r>
              <w:rPr>
                <w:sz w:val="22"/>
                <w:szCs w:val="22"/>
              </w:rPr>
              <w:t xml:space="preserve"> OHS risk </w:t>
            </w:r>
            <w:r>
              <w:rPr>
                <w:sz w:val="20"/>
                <w:szCs w:val="20"/>
              </w:rPr>
              <w:t>•</w:t>
            </w:r>
            <w:r>
              <w:rPr>
                <w:sz w:val="22"/>
                <w:szCs w:val="22"/>
              </w:rPr>
              <w:t xml:space="preserve">how these products were developed and implemented </w:t>
            </w:r>
            <w:r>
              <w:rPr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knowledge of relevant OHS legislation (acts, regulations, codes of practice, associated standards and guidance material. </w:t>
            </w:r>
          </w:p>
        </w:tc>
      </w:tr>
    </w:tbl>
    <w:p w:rsidR="007E4DC0" w:rsidRDefault="007E4DC0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2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Issued: Academic Practice Quality Consultant, August 2009 F04A7 © Central Institute of Technology 2009 Page 1 of 3 </w:t>
      </w:r>
    </w:p>
    <w:p w:rsidR="008C46AF" w:rsidRDefault="007E4DC0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-</w:t>
      </w:r>
    </w:p>
    <w:p w:rsidR="008C46AF" w:rsidRDefault="008C46AF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 w:type="page"/>
      </w:r>
    </w:p>
    <w:p w:rsidR="007E4DC0" w:rsidRDefault="007E4DC0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/>
        <w:t xml:space="preserve">ASSESSMENT SUMMARY </w:t>
      </w:r>
      <w:r>
        <w:rPr>
          <w:b/>
          <w:bCs/>
          <w:color w:val="auto"/>
          <w:sz w:val="22"/>
          <w:szCs w:val="22"/>
        </w:rPr>
        <w:br/>
      </w:r>
    </w:p>
    <w:p w:rsidR="004E2D52" w:rsidRPr="004E2D52" w:rsidRDefault="004E2D52" w:rsidP="004E2D52">
      <w:pPr>
        <w:pStyle w:val="Default"/>
        <w:rPr>
          <w:rFonts w:cs="Angsana New"/>
          <w:b/>
          <w:bCs/>
          <w:color w:val="auto"/>
        </w:rPr>
      </w:pPr>
      <w:r w:rsidRPr="004E2D52">
        <w:rPr>
          <w:rFonts w:cs="Angsana New"/>
          <w:b/>
          <w:bCs/>
          <w:color w:val="auto"/>
        </w:rPr>
        <w:t>Due dates are usual session time for the week commencing on the date indicated below</w:t>
      </w:r>
    </w:p>
    <w:p w:rsidR="004E2D52" w:rsidRDefault="004E2D52" w:rsidP="004E2D52">
      <w:pPr>
        <w:pStyle w:val="Default"/>
        <w:rPr>
          <w:rFonts w:cs="Angsana New"/>
          <w:color w:val="auto"/>
        </w:rPr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1635"/>
        <w:gridCol w:w="6120"/>
        <w:gridCol w:w="2160"/>
      </w:tblGrid>
      <w:tr w:rsidR="007E4DC0" w:rsidTr="007E4DC0">
        <w:trPr>
          <w:trHeight w:val="78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DUE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ASSESSMENT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ELEMENTS </w:t>
            </w:r>
          </w:p>
        </w:tc>
      </w:tr>
      <w:tr w:rsidR="007E4DC0" w:rsidTr="007E4DC0">
        <w:trPr>
          <w:trHeight w:val="77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7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Online Legislation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all </w:t>
            </w:r>
          </w:p>
        </w:tc>
      </w:tr>
      <w:tr w:rsidR="007E4DC0" w:rsidTr="007E4DC0">
        <w:trPr>
          <w:trHeight w:val="75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9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Formative hazard/risk identification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1, 2, &amp; 3 </w:t>
            </w:r>
          </w:p>
        </w:tc>
      </w:tr>
      <w:tr w:rsidR="007E4DC0" w:rsidTr="007E4DC0">
        <w:trPr>
          <w:trHeight w:val="75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13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Formative Job Safety Analysis (JSA)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1, 2, 3, &amp; 4 </w:t>
            </w:r>
          </w:p>
        </w:tc>
      </w:tr>
      <w:tr w:rsidR="007E4DC0" w:rsidTr="007E4DC0">
        <w:trPr>
          <w:trHeight w:val="75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17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Major assignment the </w:t>
            </w:r>
            <w:r>
              <w:rPr>
                <w:b/>
                <w:bCs/>
                <w:i/>
                <w:iCs/>
              </w:rPr>
              <w:t>'</w:t>
            </w:r>
            <w:proofErr w:type="spellStart"/>
            <w:r>
              <w:rPr>
                <w:b/>
                <w:bCs/>
                <w:i/>
                <w:iCs/>
              </w:rPr>
              <w:t>WorkSafePlan</w:t>
            </w:r>
            <w:proofErr w:type="spellEnd"/>
            <w:r>
              <w:rPr>
                <w:i/>
                <w:iCs/>
              </w:rPr>
              <w:t xml:space="preserve"> </w:t>
            </w:r>
            <w:r w:rsidRPr="00700836">
              <w:rPr>
                <w:iCs/>
              </w:rPr>
              <w:t>assessment'.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all </w:t>
            </w:r>
          </w:p>
        </w:tc>
      </w:tr>
    </w:tbl>
    <w:p w:rsidR="008C46AF" w:rsidRDefault="008C46AF">
      <w:pPr>
        <w:pStyle w:val="Default"/>
        <w:rPr>
          <w:rFonts w:cs="Angsana New"/>
          <w:color w:val="auto"/>
        </w:rPr>
      </w:pPr>
    </w:p>
    <w:p w:rsidR="008C46AF" w:rsidRDefault="008C46AF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4"/>
        <w:spacing w:line="253" w:lineRule="atLeast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Individual learning and assessment needs </w:t>
      </w:r>
    </w:p>
    <w:p w:rsidR="007E4DC0" w:rsidRDefault="007E4DC0">
      <w:pPr>
        <w:pStyle w:val="CM3"/>
        <w:spacing w:after="87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Central Institute of Technology recognises that students have different learning styles and needs. Please let your lecturer know if there is anything that may have an effect on your learning. </w:t>
      </w:r>
    </w:p>
    <w:p w:rsidR="007E4DC0" w:rsidRDefault="007E4DC0">
      <w:pPr>
        <w:pStyle w:val="CM4"/>
        <w:spacing w:line="253" w:lineRule="atLeast"/>
        <w:jc w:val="both"/>
        <w:rPr>
          <w:rFonts w:cs="Arial"/>
          <w:sz w:val="22"/>
          <w:szCs w:val="22"/>
        </w:rPr>
      </w:pPr>
      <w:proofErr w:type="gramStart"/>
      <w:r>
        <w:rPr>
          <w:rFonts w:cs="Arial"/>
          <w:b/>
          <w:bCs/>
          <w:sz w:val="22"/>
          <w:szCs w:val="22"/>
        </w:rPr>
        <w:t>Results and appeals.</w:t>
      </w:r>
      <w:proofErr w:type="gramEnd"/>
      <w:r>
        <w:rPr>
          <w:rFonts w:cs="Arial"/>
          <w:b/>
          <w:bCs/>
          <w:sz w:val="22"/>
          <w:szCs w:val="22"/>
        </w:rPr>
        <w:t xml:space="preserve"> </w:t>
      </w:r>
    </w:p>
    <w:p w:rsidR="007E4DC0" w:rsidRDefault="007E4DC0">
      <w:pPr>
        <w:pStyle w:val="CM4"/>
        <w:spacing w:line="253" w:lineRule="atLeast"/>
        <w:ind w:right="11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refer to the Central Institute of Technology website for information about the assessment process. The information can be found at  </w:t>
      </w:r>
    </w:p>
    <w:p w:rsidR="007E4DC0" w:rsidRDefault="00C00F9B">
      <w:pPr>
        <w:pStyle w:val="CM4"/>
        <w:spacing w:line="253" w:lineRule="atLeast"/>
        <w:jc w:val="both"/>
        <w:rPr>
          <w:rFonts w:cs="Arial"/>
          <w:color w:val="0000FF"/>
          <w:sz w:val="22"/>
          <w:szCs w:val="22"/>
          <w:u w:val="single"/>
        </w:rPr>
      </w:pPr>
      <w:hyperlink r:id="rId6" w:history="1">
        <w:r w:rsidRPr="00153D21">
          <w:rPr>
            <w:rStyle w:val="Hyperlink"/>
            <w:rFonts w:cs="Arial"/>
            <w:sz w:val="22"/>
            <w:szCs w:val="22"/>
          </w:rPr>
          <w:t>http://www.centraltafe.wa.edu.au</w:t>
        </w:r>
      </w:hyperlink>
      <w:r w:rsidR="007E4DC0">
        <w:rPr>
          <w:rFonts w:cs="Arial"/>
          <w:color w:val="0000FF"/>
          <w:sz w:val="22"/>
          <w:szCs w:val="22"/>
          <w:u w:val="single"/>
        </w:rPr>
        <w:t xml:space="preserve"> </w:t>
      </w:r>
    </w:p>
    <w:p w:rsidR="00C00F9B" w:rsidRDefault="00C00F9B" w:rsidP="00C00F9B">
      <w:pPr>
        <w:spacing w:after="120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The path is; home – current students- your studies – assessment.</w:t>
      </w:r>
    </w:p>
    <w:p w:rsidR="00C00F9B" w:rsidRPr="00C00F9B" w:rsidRDefault="00C00F9B" w:rsidP="00C00F9B">
      <w:pPr>
        <w:pStyle w:val="Default"/>
      </w:pPr>
    </w:p>
    <w:p w:rsidR="008C46AF" w:rsidRDefault="008C46AF">
      <w:pPr>
        <w:pStyle w:val="CM5"/>
        <w:jc w:val="center"/>
        <w:rPr>
          <w:rFonts w:cs="Arial"/>
          <w:b/>
          <w:bCs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br w:type="page"/>
      </w:r>
    </w:p>
    <w:p w:rsidR="007E4DC0" w:rsidRDefault="007E4DC0">
      <w:pPr>
        <w:pStyle w:val="CM5"/>
        <w:jc w:val="center"/>
        <w:rPr>
          <w:rFonts w:cs="Arial"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 xml:space="preserve">LEARNING PLAN </w:t>
      </w:r>
      <w:r>
        <w:rPr>
          <w:rFonts w:cs="Arial"/>
          <w:b/>
          <w:bCs/>
          <w:color w:val="000000"/>
          <w:sz w:val="22"/>
          <w:szCs w:val="22"/>
        </w:rPr>
        <w:br/>
      </w:r>
    </w:p>
    <w:tbl>
      <w:tblPr>
        <w:tblW w:w="9953" w:type="dxa"/>
        <w:tblLook w:val="0000" w:firstRow="0" w:lastRow="0" w:firstColumn="0" w:lastColumn="0" w:noHBand="0" w:noVBand="0"/>
      </w:tblPr>
      <w:tblGrid>
        <w:gridCol w:w="1308"/>
        <w:gridCol w:w="1385"/>
        <w:gridCol w:w="5120"/>
        <w:gridCol w:w="2140"/>
      </w:tblGrid>
      <w:tr w:rsidR="007E4DC0">
        <w:trPr>
          <w:trHeight w:val="6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Session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Elements addressed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Topic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Resources </w:t>
            </w:r>
          </w:p>
        </w:tc>
      </w:tr>
      <w:tr w:rsidR="007E4DC0"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Unit (How to study safety on </w:t>
            </w:r>
            <w:proofErr w:type="spellStart"/>
            <w:r>
              <w:rPr>
                <w:sz w:val="20"/>
                <w:szCs w:val="20"/>
              </w:rPr>
              <w:t>WebCT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Act &amp; Regulations </w:t>
            </w: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OS&amp;H Act and Regulations MC-self-test questions Practice Quiz 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Occupational Safety &amp; Health Legislation continue Practice Quiz 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 w:rsidP="00894F26">
            <w:pPr>
              <w:pStyle w:val="Default"/>
              <w:rPr>
                <w:b/>
                <w:bCs/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WQuiz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1 </w:t>
            </w:r>
          </w:p>
          <w:p w:rsidR="00894F26" w:rsidRDefault="00894F26" w:rsidP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Start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894F26" w:rsidP="00894F26">
            <w:pPr>
              <w:pStyle w:val="Defaul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Quiz 2</w:t>
            </w:r>
            <w:r w:rsidR="007E4DC0">
              <w:rPr>
                <w:b/>
                <w:bCs/>
                <w:sz w:val="15"/>
                <w:szCs w:val="15"/>
              </w:rPr>
              <w:t xml:space="preserve"> </w:t>
            </w:r>
          </w:p>
          <w:p w:rsidR="00894F26" w:rsidRDefault="00894F26" w:rsidP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Continue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894F26">
            <w:pPr>
              <w:pStyle w:val="Defaul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Quiz 3</w:t>
            </w:r>
            <w:r w:rsidR="007E4DC0">
              <w:rPr>
                <w:b/>
                <w:bCs/>
                <w:sz w:val="15"/>
                <w:szCs w:val="15"/>
              </w:rPr>
              <w:t xml:space="preserve">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Continue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894F26">
            <w:pPr>
              <w:pStyle w:val="Defaul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Quiz 3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rPr>
                <w:b/>
                <w:bCs/>
              </w:rPr>
              <w:t xml:space="preserve">Online Assessment Quiz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894F26">
            <w:pPr>
              <w:pStyle w:val="Defaul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Assessment Quiz</w:t>
            </w:r>
            <w:r w:rsidR="007E4DC0">
              <w:rPr>
                <w:b/>
                <w:bCs/>
                <w:sz w:val="15"/>
                <w:szCs w:val="15"/>
              </w:rPr>
              <w:t xml:space="preserve">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1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sources of information and data to identify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E4DC0">
        <w:trPr>
          <w:trHeight w:val="75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2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 xml:space="preserve">Analyse the work environment to identify hazards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Formative hazard/risk identification assessment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  <w:p w:rsidR="007E4DC0" w:rsidRDefault="007E4DC0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</w:tc>
      </w:tr>
      <w:tr w:rsidR="007E4DC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3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 risk associated with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 w:rsidP="00894F2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 w:rsidP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 w:rsidTr="001D2270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AC1D4D">
            <w:pPr>
              <w:pStyle w:val="Default"/>
              <w:jc w:val="center"/>
              <w:rPr>
                <w:rFonts w:cs="Angsana New"/>
                <w:color w:val="auto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AC1D4D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255" w:rsidRPr="00BE7255" w:rsidRDefault="00BE7255" w:rsidP="00AC1D4D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700836" w:rsidRDefault="00700836" w:rsidP="00AC1D4D">
            <w:pPr>
              <w:pStyle w:val="Default"/>
            </w:pPr>
            <w:r>
              <w:rPr>
                <w:b/>
                <w:bCs/>
              </w:rPr>
              <w:t xml:space="preserve">Term Break (Easter)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 w:rsidP="00AC1D4D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4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risk associated with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5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 hazard identification and risk control processes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F26" w:rsidRDefault="00894F26" w:rsidP="00894F26">
            <w:pPr>
              <w:pStyle w:val="Default"/>
              <w:rPr>
                <w:sz w:val="15"/>
                <w:szCs w:val="15"/>
              </w:rPr>
            </w:pPr>
          </w:p>
          <w:p w:rsidR="00700836" w:rsidRPr="00894F26" w:rsidRDefault="00894F2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</w:tc>
      </w:tr>
      <w:tr w:rsidR="00700836">
        <w:trPr>
          <w:trHeight w:val="63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Formative Job Safety Analysis (JSA) assessment.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 w:rsidP="00894F2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6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 and review risk management processes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work on Safety Plan Assignment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information 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work on Safety Plan Assignment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Internet information</w:t>
            </w:r>
          </w:p>
          <w:p w:rsidR="00894F26" w:rsidRDefault="00894F26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rPr>
                <w:b/>
                <w:bCs/>
              </w:rP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Safety Plan Assignment Submission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Indicators 1.1 - 1.19 </w:t>
            </w:r>
          </w:p>
        </w:tc>
      </w:tr>
      <w:tr w:rsidR="00700836">
        <w:trPr>
          <w:trHeight w:val="57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Marking / Results displayed on 'Results board'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</w:p>
        </w:tc>
      </w:tr>
      <w:tr w:rsidR="00700836"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</w:p>
        </w:tc>
      </w:tr>
      <w:tr w:rsidR="00700836"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Resubmission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</w:tr>
    </w:tbl>
    <w:p w:rsidR="007E4DC0" w:rsidRDefault="007E4DC0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2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Issued: Academic Practice Quality Consultant, August 2009 F04A7 © Central Institute of Technology 2009 Page 3 of 3 </w:t>
      </w:r>
    </w:p>
    <w:p w:rsidR="008C46AF" w:rsidRDefault="008C46AF">
      <w:pPr>
        <w:rPr>
          <w:rFonts w:ascii="Arial" w:hAnsi="Arial" w:cs="Arial"/>
          <w:color w:val="000000"/>
          <w:sz w:val="22"/>
          <w:szCs w:val="22"/>
        </w:rPr>
      </w:pPr>
    </w:p>
    <w:sectPr w:rsidR="008C46AF" w:rsidSect="007E4DC0">
      <w:type w:val="continuous"/>
      <w:pgSz w:w="11905" w:h="16840"/>
      <w:pgMar w:top="1" w:right="990" w:bottom="54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0BF"/>
    <w:rsid w:val="00142A60"/>
    <w:rsid w:val="0034000E"/>
    <w:rsid w:val="00344325"/>
    <w:rsid w:val="004E2D52"/>
    <w:rsid w:val="006140BF"/>
    <w:rsid w:val="00700836"/>
    <w:rsid w:val="007E4DC0"/>
    <w:rsid w:val="00844466"/>
    <w:rsid w:val="00894F26"/>
    <w:rsid w:val="008C46AF"/>
    <w:rsid w:val="009A72A7"/>
    <w:rsid w:val="009C1681"/>
    <w:rsid w:val="00A02C9F"/>
    <w:rsid w:val="00B92EF1"/>
    <w:rsid w:val="00BE7255"/>
    <w:rsid w:val="00C00F9B"/>
    <w:rsid w:val="00C06C5B"/>
    <w:rsid w:val="00C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 w:bidi="th-TH"/>
    </w:rPr>
  </w:style>
  <w:style w:type="paragraph" w:customStyle="1" w:styleId="CM4">
    <w:name w:val="CM4"/>
    <w:basedOn w:val="Default"/>
    <w:next w:val="Default"/>
    <w:uiPriority w:val="99"/>
    <w:pPr>
      <w:spacing w:after="128"/>
    </w:pPr>
    <w:rPr>
      <w:rFonts w:cs="Angsana New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96" w:lineRule="atLeast"/>
    </w:pPr>
    <w:rPr>
      <w:rFonts w:cs="Angsana New"/>
      <w:color w:val="auto"/>
    </w:rPr>
  </w:style>
  <w:style w:type="paragraph" w:customStyle="1" w:styleId="CM5">
    <w:name w:val="CM5"/>
    <w:basedOn w:val="Default"/>
    <w:next w:val="Default"/>
    <w:uiPriority w:val="99"/>
    <w:pPr>
      <w:spacing w:after="293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186" w:lineRule="atLeast"/>
    </w:pPr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53" w:lineRule="atLeast"/>
    </w:pPr>
    <w:rPr>
      <w:rFonts w:cs="Angsana New"/>
      <w:color w:val="auto"/>
    </w:rPr>
  </w:style>
  <w:style w:type="character" w:styleId="Hyperlink">
    <w:name w:val="Hyperlink"/>
    <w:basedOn w:val="DefaultParagraphFont"/>
    <w:uiPriority w:val="99"/>
    <w:unhideWhenUsed/>
    <w:rsid w:val="00C00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entraltafe.wa.edu.a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D0906LearningPlan.doc</vt:lpstr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D0906LearningPlan.doc</dc:title>
  <dc:subject/>
  <dc:creator>BoeinK</dc:creator>
  <cp:keywords/>
  <dc:description/>
  <cp:lastModifiedBy>Karl Boeing</cp:lastModifiedBy>
  <cp:revision>4</cp:revision>
  <cp:lastPrinted>2012-05-29T01:59:00Z</cp:lastPrinted>
  <dcterms:created xsi:type="dcterms:W3CDTF">2012-05-29T01:48:00Z</dcterms:created>
  <dcterms:modified xsi:type="dcterms:W3CDTF">2012-05-29T02:23:00Z</dcterms:modified>
</cp:coreProperties>
</file>