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A1CE5">
      <w:pPr>
        <w:rPr>
          <w:rFonts w:hint="eastAsia"/>
        </w:rPr>
      </w:pPr>
      <w:r>
        <w:rPr>
          <w:rFonts w:hint="eastAsia"/>
        </w:rPr>
        <w:t>1-5bacaa</w:t>
      </w:r>
    </w:p>
    <w:p w14:paraId="3DDD4309">
      <w:pPr>
        <w:rPr>
          <w:rFonts w:hint="eastAsia"/>
        </w:rPr>
      </w:pPr>
      <w:r>
        <w:rPr>
          <w:rFonts w:hint="eastAsia"/>
        </w:rPr>
        <w:t>67ad</w:t>
      </w:r>
    </w:p>
    <w:p w14:paraId="60459F1D">
      <w:pPr>
        <w:rPr>
          <w:rFonts w:hint="eastAsia"/>
        </w:rPr>
      </w:pPr>
      <w:r>
        <w:rPr>
          <w:rFonts w:hint="eastAsia"/>
        </w:rPr>
        <w:t>判断1-5全错</w:t>
      </w:r>
    </w:p>
    <w:p w14:paraId="33EB2AB9">
      <w:pPr>
        <w:rPr>
          <w:rFonts w:hint="eastAsia"/>
        </w:rPr>
      </w:pPr>
      <w:r>
        <w:rPr>
          <w:rFonts w:hint="eastAsia"/>
        </w:rPr>
        <w:t>10d</w:t>
      </w:r>
    </w:p>
    <w:p w14:paraId="76DCC485">
      <w:pPr>
        <w:rPr>
          <w:rFonts w:hint="eastAsia"/>
        </w:rPr>
      </w:pPr>
      <w:r>
        <w:rPr>
          <w:rFonts w:hint="eastAsia"/>
        </w:rPr>
        <w:t>COSO内部控制框架认为，内部控制系统是由控制环境、风险评估、内控活动、信息与沟通、监督五要素组成，它们取决于管理层经营企业的方式，并融入管理过程本身，其相互关系可以用其模型表示。</w:t>
      </w:r>
    </w:p>
    <w:p w14:paraId="5F848316">
      <w:pPr>
        <w:rPr>
          <w:rFonts w:hint="eastAsia"/>
        </w:rPr>
      </w:pPr>
      <w:r>
        <w:rPr>
          <w:rFonts w:hint="eastAsia"/>
        </w:rPr>
        <w:t>简答1</w:t>
      </w:r>
    </w:p>
    <w:p w14:paraId="1ED02B34">
      <w:pPr>
        <w:rPr>
          <w:rFonts w:hint="eastAsia"/>
        </w:rPr>
      </w:pPr>
      <w:r>
        <w:rPr>
          <w:rFonts w:hint="eastAsia"/>
        </w:rPr>
        <w:t>内生性。操作风险源于银行业务操作，主要由内部因素引起，如内部程序、人员和系统的不完备或失灵，银行工作人员越权或从事职业道德不允许或风险过高的业务，除自然灾害、恐怖袭击、盗抢欺诈等外部事件引起的操作风险损失外。</w:t>
      </w:r>
    </w:p>
    <w:p w14:paraId="60FB8FFD">
      <w:pPr>
        <w:rPr>
          <w:rFonts w:hint="eastAsia"/>
        </w:rPr>
      </w:pPr>
      <w:r>
        <w:rPr>
          <w:rFonts w:hint="eastAsia"/>
        </w:rPr>
        <w:t xml:space="preserve">  具体性。操作风险中的风险因素主要存在于银行的业务操作之中，且几乎涵盖了银行的所有业务活动。多样性。操作风险主要来源于内部程序、人员、系统和外部事件。不对称性。操作风险是一种纯粹的风险，承担这种风险不能带来任何收入，只会造成损失，而且操作风险损失在大多数情况下与收益的产生没有必然的联系。</w:t>
      </w:r>
    </w:p>
    <w:p w14:paraId="270605A6">
      <w:pPr>
        <w:rPr>
          <w:rFonts w:hint="eastAsia"/>
        </w:rPr>
      </w:pPr>
      <w:r>
        <w:rPr>
          <w:rFonts w:hint="eastAsia"/>
        </w:rPr>
        <w:t xml:space="preserve">  分散性。操作风险管理实际上覆盖了银行经营管理的所有方面，既包括那些高频低损的日常业务差错，也包括那些低频高损的自然灾害、欺诈行为等</w:t>
      </w:r>
    </w:p>
    <w:p w14:paraId="5349BA8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368040" cy="4457700"/>
            <wp:effectExtent l="0" t="0" r="0" b="7620"/>
            <wp:docPr id="1" name="图片 1" descr="1751036173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5103617352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0E6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701540" cy="6179820"/>
            <wp:effectExtent l="0" t="0" r="7620" b="7620"/>
            <wp:docPr id="2" name="图片 2" descr="1751036208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5103620849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61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53C2">
      <w:pPr>
        <w:rPr>
          <w:rFonts w:hint="eastAsia" w:eastAsia="宋体"/>
          <w:lang w:eastAsia="zh-CN"/>
        </w:rPr>
      </w:pPr>
    </w:p>
    <w:p w14:paraId="250DD38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434840" cy="6477000"/>
            <wp:effectExtent l="0" t="0" r="0" b="0"/>
            <wp:docPr id="3" name="图片 3" descr="1751036234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510362340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B23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770" cy="4725670"/>
            <wp:effectExtent l="0" t="0" r="1270" b="13970"/>
            <wp:docPr id="4" name="图片 4" descr="1751036255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510362555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D11D">
      <w:pPr>
        <w:rPr>
          <w:rFonts w:hint="eastAsia" w:eastAsia="宋体"/>
          <w:lang w:eastAsia="zh-CN"/>
        </w:rPr>
      </w:pPr>
    </w:p>
    <w:p w14:paraId="0BD84E5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610100" cy="5996940"/>
            <wp:effectExtent l="0" t="0" r="7620" b="7620"/>
            <wp:docPr id="5" name="图片 5" descr="1751036283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510362833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99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9D7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610100" cy="5996940"/>
            <wp:effectExtent l="0" t="0" r="7620" b="7620"/>
            <wp:docPr id="6" name="图片 6" descr="1751036283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510362833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99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386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固定利率的中长期贷款，存要是短期存。 当利率上升时，部分贷款可能发生违约。 表3某银行资产负债表(单位:亿元) 资产 负债及所有者权益 长期证券投资 10 负债(短期、浮动利率存款) 60 长期贷款 合计 90 100 净值(所有者权益) 合计 40 100 (1)一笔贷款完全违约，造成了该银行8%的贷款不能收回，银行冲销部分损失。分析利率上升 对该银行的资产负债表的影响。(3分) (2) 采用回收现金流法计算违约损失率时，若回收金额为1亿元，回收成本为0.8亿元，违约风险暴 露为1.5亿元，则违约损失率是多少?(2分) (1)假设信用 分) (2)假设信用分) (3)请计算贷</w:t>
      </w:r>
    </w:p>
    <w:p w14:paraId="7F73E4F7">
      <w:pPr>
        <w:rPr>
          <w:rFonts w:hint="eastAsia" w:eastAsia="宋体"/>
          <w:lang w:eastAsia="zh-CN"/>
        </w:rPr>
      </w:pPr>
    </w:p>
    <w:p w14:paraId="29B0FD41">
      <w:pPr>
        <w:rPr>
          <w:rFonts w:hint="eastAsia" w:eastAsia="宋体"/>
          <w:lang w:eastAsia="zh-CN"/>
        </w:rPr>
      </w:pPr>
    </w:p>
    <w:p w14:paraId="68B91098">
      <w:pPr>
        <w:rPr>
          <w:rFonts w:hint="eastAsia" w:eastAsia="宋体"/>
          <w:lang w:eastAsia="zh-CN"/>
        </w:rPr>
      </w:pPr>
    </w:p>
    <w:p w14:paraId="5AF8F61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2023/6/12 下午8:15:15</w:t>
      </w:r>
    </w:p>
    <w:p w14:paraId="28A95D22">
      <w:pPr>
        <w:rPr>
          <w:rFonts w:hint="eastAsia" w:eastAsia="宋体"/>
          <w:lang w:eastAsia="zh-CN"/>
        </w:rPr>
      </w:pPr>
    </w:p>
    <w:p w14:paraId="1A2328B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固定利率的中长期贷款，存要是短期存。</w:t>
      </w:r>
    </w:p>
    <w:p w14:paraId="723B2946">
      <w:pPr>
        <w:rPr>
          <w:rFonts w:hint="eastAsia" w:eastAsia="宋体"/>
          <w:lang w:eastAsia="zh-CN"/>
        </w:rPr>
      </w:pPr>
    </w:p>
    <w:p w14:paraId="5870541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当利率上升时，部分贷款可能发生违约。</w:t>
      </w:r>
    </w:p>
    <w:p w14:paraId="38A4591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表3某银行资产负债表(单位:亿元)</w:t>
      </w:r>
    </w:p>
    <w:p w14:paraId="595FFD8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资产</w:t>
      </w:r>
      <w:r>
        <w:rPr>
          <w:rFonts w:hint="eastAsia" w:eastAsia="宋体"/>
          <w:lang w:eastAsia="zh-CN"/>
        </w:rPr>
        <w:tab/>
      </w:r>
      <w:r>
        <w:rPr>
          <w:rFonts w:hint="eastAsia" w:eastAsia="宋体"/>
          <w:lang w:eastAsia="zh-CN"/>
        </w:rPr>
        <w:t>负债及所有者权益</w:t>
      </w:r>
      <w:r>
        <w:rPr>
          <w:rFonts w:hint="eastAsia" w:eastAsia="宋体"/>
          <w:lang w:eastAsia="zh-CN"/>
        </w:rPr>
        <w:tab/>
      </w:r>
    </w:p>
    <w:p w14:paraId="5F3D10E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长期证券投资</w:t>
      </w:r>
      <w:r>
        <w:rPr>
          <w:rFonts w:hint="eastAsia" w:eastAsia="宋体"/>
          <w:lang w:eastAsia="zh-CN"/>
        </w:rPr>
        <w:tab/>
      </w:r>
      <w:r>
        <w:rPr>
          <w:rFonts w:hint="eastAsia" w:eastAsia="宋体"/>
          <w:lang w:eastAsia="zh-CN"/>
        </w:rPr>
        <w:t>10</w:t>
      </w:r>
      <w:r>
        <w:rPr>
          <w:rFonts w:hint="eastAsia" w:eastAsia="宋体"/>
          <w:lang w:eastAsia="zh-CN"/>
        </w:rPr>
        <w:tab/>
      </w:r>
      <w:r>
        <w:rPr>
          <w:rFonts w:hint="eastAsia" w:eastAsia="宋体"/>
          <w:lang w:eastAsia="zh-CN"/>
        </w:rPr>
        <w:t>负债(短期、浮动利率存款)</w:t>
      </w:r>
      <w:r>
        <w:rPr>
          <w:rFonts w:hint="eastAsia" w:eastAsia="宋体"/>
          <w:lang w:eastAsia="zh-CN"/>
        </w:rPr>
        <w:tab/>
      </w:r>
      <w:r>
        <w:rPr>
          <w:rFonts w:hint="eastAsia" w:eastAsia="宋体"/>
          <w:lang w:eastAsia="zh-CN"/>
        </w:rPr>
        <w:t>60</w:t>
      </w:r>
      <w:r>
        <w:rPr>
          <w:rFonts w:hint="eastAsia" w:eastAsia="宋体"/>
          <w:lang w:eastAsia="zh-CN"/>
        </w:rPr>
        <w:tab/>
      </w:r>
    </w:p>
    <w:p w14:paraId="604B48C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长期贷款</w:t>
      </w:r>
      <w:r>
        <w:rPr>
          <w:rFonts w:hint="eastAsia" w:eastAsia="宋体"/>
          <w:lang w:eastAsia="zh-CN"/>
        </w:rPr>
        <w:tab/>
      </w:r>
      <w:r>
        <w:rPr>
          <w:rFonts w:hint="eastAsia" w:eastAsia="宋体"/>
          <w:lang w:eastAsia="zh-CN"/>
        </w:rPr>
        <w:t>合计</w:t>
      </w:r>
      <w:r>
        <w:rPr>
          <w:rFonts w:hint="eastAsia" w:eastAsia="宋体"/>
          <w:lang w:eastAsia="zh-CN"/>
        </w:rPr>
        <w:tab/>
      </w:r>
      <w:r>
        <w:rPr>
          <w:rFonts w:hint="eastAsia" w:eastAsia="宋体"/>
          <w:lang w:eastAsia="zh-CN"/>
        </w:rPr>
        <w:t>90</w:t>
      </w:r>
      <w:r>
        <w:rPr>
          <w:rFonts w:hint="eastAsia" w:eastAsia="宋体"/>
          <w:lang w:eastAsia="zh-CN"/>
        </w:rPr>
        <w:tab/>
      </w:r>
      <w:r>
        <w:rPr>
          <w:rFonts w:hint="eastAsia" w:eastAsia="宋体"/>
          <w:lang w:eastAsia="zh-CN"/>
        </w:rPr>
        <w:t>100</w:t>
      </w:r>
      <w:r>
        <w:rPr>
          <w:rFonts w:hint="eastAsia" w:eastAsia="宋体"/>
          <w:lang w:eastAsia="zh-CN"/>
        </w:rPr>
        <w:tab/>
      </w:r>
      <w:r>
        <w:rPr>
          <w:rFonts w:hint="eastAsia" w:eastAsia="宋体"/>
          <w:lang w:eastAsia="zh-CN"/>
        </w:rPr>
        <w:t>净值(所有者权益)</w:t>
      </w:r>
      <w:r>
        <w:rPr>
          <w:rFonts w:hint="eastAsia" w:eastAsia="宋体"/>
          <w:lang w:eastAsia="zh-CN"/>
        </w:rPr>
        <w:tab/>
      </w:r>
      <w:r>
        <w:rPr>
          <w:rFonts w:hint="eastAsia" w:eastAsia="宋体"/>
          <w:lang w:eastAsia="zh-CN"/>
        </w:rPr>
        <w:t>合计</w:t>
      </w:r>
      <w:r>
        <w:rPr>
          <w:rFonts w:hint="eastAsia" w:eastAsia="宋体"/>
          <w:lang w:eastAsia="zh-CN"/>
        </w:rPr>
        <w:tab/>
      </w:r>
      <w:r>
        <w:rPr>
          <w:rFonts w:hint="eastAsia" w:eastAsia="宋体"/>
          <w:lang w:eastAsia="zh-CN"/>
        </w:rPr>
        <w:t>40</w:t>
      </w:r>
      <w:r>
        <w:rPr>
          <w:rFonts w:hint="eastAsia" w:eastAsia="宋体"/>
          <w:lang w:eastAsia="zh-CN"/>
        </w:rPr>
        <w:tab/>
      </w:r>
      <w:r>
        <w:rPr>
          <w:rFonts w:hint="eastAsia" w:eastAsia="宋体"/>
          <w:lang w:eastAsia="zh-CN"/>
        </w:rPr>
        <w:t>100</w:t>
      </w:r>
      <w:r>
        <w:rPr>
          <w:rFonts w:hint="eastAsia" w:eastAsia="宋体"/>
          <w:lang w:eastAsia="zh-CN"/>
        </w:rPr>
        <w:tab/>
      </w:r>
    </w:p>
    <w:p w14:paraId="17238580">
      <w:pPr>
        <w:rPr>
          <w:rFonts w:hint="eastAsia" w:eastAsia="宋体"/>
          <w:lang w:eastAsia="zh-CN"/>
        </w:rPr>
      </w:pPr>
    </w:p>
    <w:p w14:paraId="3B5201B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(1)一笔贷款完全违约，造成了该银行8%的贷款不能收回，银行冲销部分损失。分析利率上升</w:t>
      </w:r>
    </w:p>
    <w:p w14:paraId="6FD8026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对该银行的资产负债表的影响。(3分)</w:t>
      </w:r>
    </w:p>
    <w:p w14:paraId="223A99D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(2)</w:t>
      </w:r>
      <w:r>
        <w:rPr>
          <w:rFonts w:hint="eastAsia" w:eastAsia="宋体"/>
          <w:lang w:eastAsia="zh-CN"/>
        </w:rPr>
        <w:tab/>
      </w:r>
      <w:r>
        <w:rPr>
          <w:rFonts w:hint="eastAsia" w:eastAsia="宋体"/>
          <w:lang w:eastAsia="zh-CN"/>
        </w:rPr>
        <w:t>采用回收现金流法计算违约损失率时，若回收金额为1亿元，回收成本为0.8亿元，违约风险暴</w:t>
      </w:r>
      <w:r>
        <w:rPr>
          <w:rFonts w:hint="eastAsia" w:eastAsia="宋体"/>
          <w:lang w:eastAsia="zh-CN"/>
        </w:rPr>
        <w:tab/>
      </w:r>
    </w:p>
    <w:p w14:paraId="11DBF8C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露为1.5亿元，则违约损失率是多少?(2分)</w:t>
      </w:r>
      <w:r>
        <w:rPr>
          <w:rFonts w:hint="eastAsia" w:eastAsia="宋体"/>
          <w:lang w:eastAsia="zh-CN"/>
        </w:rPr>
        <w:tab/>
      </w:r>
      <w:r>
        <w:rPr>
          <w:rFonts w:hint="eastAsia" w:eastAsia="宋体"/>
          <w:lang w:eastAsia="zh-CN"/>
        </w:rPr>
        <w:t>(1)假设信用</w:t>
      </w:r>
      <w:r>
        <w:rPr>
          <w:rFonts w:hint="eastAsia" w:eastAsia="宋体"/>
          <w:lang w:eastAsia="zh-CN"/>
        </w:rPr>
        <w:tab/>
      </w:r>
    </w:p>
    <w:p w14:paraId="6BA1F57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分)</w:t>
      </w:r>
    </w:p>
    <w:p w14:paraId="26D562E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(2)假设信用分)</w:t>
      </w:r>
    </w:p>
    <w:p w14:paraId="796A0CE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(3)请计算贷</w:t>
      </w:r>
    </w:p>
    <w:p w14:paraId="25DD8349">
      <w:pPr>
        <w:rPr>
          <w:rFonts w:hint="eastAsia" w:eastAsia="宋体"/>
          <w:lang w:eastAsia="zh-CN"/>
        </w:rPr>
      </w:pPr>
    </w:p>
    <w:p w14:paraId="4AF03D7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2023/6/12 下午8:15:39</w:t>
      </w:r>
    </w:p>
    <w:p w14:paraId="6A568AF3">
      <w:pPr>
        <w:rPr>
          <w:rFonts w:hint="eastAsia" w:eastAsia="宋体"/>
          <w:lang w:eastAsia="zh-CN"/>
        </w:rPr>
      </w:pPr>
    </w:p>
    <w:p w14:paraId="11421B4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(1) 违约部分贷款无法收回造成资产损失，长期贷款减少8%*90=7.2亿元，导致总资产为90-7.2+10=92.8亿元。该银行冲销部分损失，净值不变，因此所有者权益仍为40亿元。由此可得新的资产负债表如下：</w:t>
      </w:r>
    </w:p>
    <w:p w14:paraId="258B9426">
      <w:pPr>
        <w:rPr>
          <w:rFonts w:hint="eastAsia" w:eastAsia="宋体"/>
          <w:lang w:eastAsia="zh-CN"/>
        </w:rPr>
      </w:pPr>
    </w:p>
    <w:p w14:paraId="405AE3E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资产</w:t>
      </w:r>
      <w:r>
        <w:rPr>
          <w:rFonts w:hint="eastAsia" w:eastAsia="宋体"/>
          <w:lang w:eastAsia="zh-CN"/>
        </w:rPr>
        <w:tab/>
      </w:r>
      <w:r>
        <w:rPr>
          <w:rFonts w:hint="eastAsia" w:eastAsia="宋体"/>
          <w:lang w:eastAsia="zh-CN"/>
        </w:rPr>
        <w:t>金额（亿元）</w:t>
      </w:r>
    </w:p>
    <w:p w14:paraId="282FAE0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长期证券投资</w:t>
      </w:r>
      <w:r>
        <w:rPr>
          <w:rFonts w:hint="eastAsia" w:eastAsia="宋体"/>
          <w:lang w:eastAsia="zh-CN"/>
        </w:rPr>
        <w:tab/>
      </w:r>
      <w:r>
        <w:rPr>
          <w:rFonts w:hint="eastAsia" w:eastAsia="宋体"/>
          <w:lang w:eastAsia="zh-CN"/>
        </w:rPr>
        <w:t>10</w:t>
      </w:r>
    </w:p>
    <w:p w14:paraId="010F141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长期贷款</w:t>
      </w:r>
      <w:r>
        <w:rPr>
          <w:rFonts w:hint="eastAsia" w:eastAsia="宋体"/>
          <w:lang w:eastAsia="zh-CN"/>
        </w:rPr>
        <w:tab/>
      </w:r>
      <w:r>
        <w:rPr>
          <w:rFonts w:hint="eastAsia" w:eastAsia="宋体"/>
          <w:lang w:eastAsia="zh-CN"/>
        </w:rPr>
        <w:t>82.8</w:t>
      </w:r>
    </w:p>
    <w:p w14:paraId="71889A3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总计</w:t>
      </w:r>
      <w:r>
        <w:rPr>
          <w:rFonts w:hint="eastAsia" w:eastAsia="宋体"/>
          <w:lang w:eastAsia="zh-CN"/>
        </w:rPr>
        <w:tab/>
      </w:r>
      <w:r>
        <w:rPr>
          <w:rFonts w:hint="eastAsia" w:eastAsia="宋体"/>
          <w:lang w:eastAsia="zh-CN"/>
        </w:rPr>
        <w:t>92.8</w:t>
      </w:r>
    </w:p>
    <w:p w14:paraId="214195F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负债及所有者权益</w:t>
      </w:r>
      <w:r>
        <w:rPr>
          <w:rFonts w:hint="eastAsia" w:eastAsia="宋体"/>
          <w:lang w:eastAsia="zh-CN"/>
        </w:rPr>
        <w:tab/>
      </w:r>
      <w:r>
        <w:rPr>
          <w:rFonts w:hint="eastAsia" w:eastAsia="宋体"/>
          <w:lang w:eastAsia="zh-CN"/>
        </w:rPr>
        <w:t>金额（亿元）</w:t>
      </w:r>
    </w:p>
    <w:p w14:paraId="2E730A4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负债（短期、浮动利率存款）</w:t>
      </w:r>
      <w:r>
        <w:rPr>
          <w:rFonts w:hint="eastAsia" w:eastAsia="宋体"/>
          <w:lang w:eastAsia="zh-CN"/>
        </w:rPr>
        <w:tab/>
      </w:r>
      <w:r>
        <w:rPr>
          <w:rFonts w:hint="eastAsia" w:eastAsia="宋体"/>
          <w:lang w:eastAsia="zh-CN"/>
        </w:rPr>
        <w:t>60</w:t>
      </w:r>
    </w:p>
    <w:p w14:paraId="45EF40A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所有者权益</w:t>
      </w:r>
      <w:r>
        <w:rPr>
          <w:rFonts w:hint="eastAsia" w:eastAsia="宋体"/>
          <w:lang w:eastAsia="zh-CN"/>
        </w:rPr>
        <w:tab/>
      </w:r>
      <w:r>
        <w:rPr>
          <w:rFonts w:hint="eastAsia" w:eastAsia="宋体"/>
          <w:lang w:eastAsia="zh-CN"/>
        </w:rPr>
        <w:t>32.8</w:t>
      </w:r>
    </w:p>
    <w:p w14:paraId="5B3CAC1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总计</w:t>
      </w:r>
      <w:r>
        <w:rPr>
          <w:rFonts w:hint="eastAsia" w:eastAsia="宋体"/>
          <w:lang w:eastAsia="zh-CN"/>
        </w:rPr>
        <w:tab/>
      </w:r>
      <w:r>
        <w:rPr>
          <w:rFonts w:hint="eastAsia" w:eastAsia="宋体"/>
          <w:lang w:eastAsia="zh-CN"/>
        </w:rPr>
        <w:t>92.8</w:t>
      </w:r>
    </w:p>
    <w:p w14:paraId="2E9D2C7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因为利率上升，银行的长期贷款使用固定利率，因此没有受到直接影响，但是由于违约风险增加，银行出现了一定程度的亏损。</w:t>
      </w:r>
    </w:p>
    <w:p w14:paraId="2B081A30">
      <w:pPr>
        <w:rPr>
          <w:rFonts w:hint="eastAsia" w:eastAsia="宋体"/>
          <w:lang w:eastAsia="zh-CN"/>
        </w:rPr>
      </w:pPr>
    </w:p>
    <w:p w14:paraId="571822A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(2) 违约损失率等于违约损失/违约暴露，其中违约损失为回收成</w:t>
      </w:r>
      <w:bookmarkStart w:id="0" w:name="_GoBack"/>
      <w:bookmarkEnd w:id="0"/>
      <w:r>
        <w:rPr>
          <w:rFonts w:hint="eastAsia" w:eastAsia="宋体"/>
          <w:lang w:eastAsia="zh-CN"/>
        </w:rPr>
        <w:t>本与违约暴露之差，即0.2亿元；违约暴露为1.5亿元。因此，违约损失率为0.2/1.5=13.33%。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6335D"/>
    <w:rsid w:val="06CB3510"/>
    <w:rsid w:val="12E34E3B"/>
    <w:rsid w:val="15FB249C"/>
    <w:rsid w:val="2953641F"/>
    <w:rsid w:val="2D3541C2"/>
    <w:rsid w:val="378620B5"/>
    <w:rsid w:val="454318B1"/>
    <w:rsid w:val="48D76884"/>
    <w:rsid w:val="50C02648"/>
    <w:rsid w:val="57D22258"/>
    <w:rsid w:val="5B4107CD"/>
    <w:rsid w:val="5B48305A"/>
    <w:rsid w:val="5D97319B"/>
    <w:rsid w:val="5E602469"/>
    <w:rsid w:val="5FDC6467"/>
    <w:rsid w:val="618B694E"/>
    <w:rsid w:val="62EE0FB8"/>
    <w:rsid w:val="6AC50223"/>
    <w:rsid w:val="6B225C9E"/>
    <w:rsid w:val="7A6829A5"/>
    <w:rsid w:val="7B315461"/>
    <w:rsid w:val="7F521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宋体"/>
      <w:b/>
      <w:kern w:val="44"/>
      <w:sz w:val="36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宋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宋体"/>
      <w:sz w:val="3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宋体"/>
      <w:sz w:val="30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rFonts w:eastAsia="华文楷体"/>
      <w:b/>
      <w:sz w:val="28"/>
    </w:rPr>
  </w:style>
  <w:style w:type="character" w:default="1" w:styleId="8">
    <w:name w:val="Default Paragraph Font"/>
    <w:semiHidden/>
    <w:qFormat/>
    <w:uiPriority w:val="0"/>
    <w:rPr>
      <w:rFonts w:ascii="Calibri" w:hAnsi="Calibri" w:eastAsia="宋体"/>
    </w:rPr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2023-02-28T01:52:00Z</dcterms:created>
  <dc:creator>hp</dc:creator>
  <cp:lastModifiedBy>两三点雨山前.</cp:lastModifiedBy>
  <dcterms:modified xsi:type="dcterms:W3CDTF">2025-06-27T14:58:58Z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BCA5184965DF4448864E91455D942995_13</vt:lpwstr>
  </property>
  <property fmtid="{D5CDD505-2E9C-101B-9397-08002B2CF9AE}" pid="4" name="KSOTemplateDocerSaveRecord">
    <vt:lpwstr>eyJoZGlkIjoiMzZkNmMzMDI5OWE1Zjk4NjIxZmVhYWRlYmJkZjdjZjAiLCJ1c2VySWQiOiI2ODIzOTkxNzAifQ==</vt:lpwstr>
  </property>
</Properties>
</file>