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990600"/>
            <wp:effectExtent b="0" l="0" r="0" t="0"/>
            <wp:docPr id="26" name="image42.png"/>
            <a:graphic>
              <a:graphicData uri="http://schemas.openxmlformats.org/drawingml/2006/picture">
                <pic:pic>
                  <pic:nvPicPr>
                    <pic:cNvPr id="0" name="image42.png"/>
                    <pic:cNvPicPr preferRelativeResize="0"/>
                  </pic:nvPicPr>
                  <pic:blipFill>
                    <a:blip r:embed="rId6"/>
                    <a:srcRect b="59827" l="0" r="0" t="9499"/>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before="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Campus Puebla</w:t>
      </w:r>
    </w:p>
    <w:p w:rsidR="00000000" w:rsidDel="00000000" w:rsidP="00000000" w:rsidRDefault="00000000" w:rsidRPr="00000000" w14:paraId="00000004">
      <w:pPr>
        <w:spacing w:before="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before="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before="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trabajo:</w:t>
      </w:r>
    </w:p>
    <w:p w:rsidR="00000000" w:rsidDel="00000000" w:rsidP="00000000" w:rsidRDefault="00000000" w:rsidRPr="00000000" w14:paraId="00000007">
      <w:pPr>
        <w:spacing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Actividad 4 (Extracción de Características)</w:t>
      </w:r>
      <w:r w:rsidDel="00000000" w:rsidR="00000000" w:rsidRPr="00000000">
        <w:rPr>
          <w:rtl w:val="0"/>
        </w:rPr>
      </w:r>
    </w:p>
    <w:p w:rsidR="00000000" w:rsidDel="00000000" w:rsidP="00000000" w:rsidRDefault="00000000" w:rsidRPr="00000000" w14:paraId="00000008">
      <w:pPr>
        <w:spacing w:before="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before="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before="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w:t>
      </w:r>
    </w:p>
    <w:p w:rsidR="00000000" w:rsidDel="00000000" w:rsidP="00000000" w:rsidRDefault="00000000" w:rsidRPr="00000000" w14:paraId="0000000B">
      <w:pPr>
        <w:spacing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proyectos de análisis de datos (Gpo 301)</w:t>
      </w:r>
    </w:p>
    <w:p w:rsidR="00000000" w:rsidDel="00000000" w:rsidP="00000000" w:rsidRDefault="00000000" w:rsidRPr="00000000" w14:paraId="0000000C">
      <w:pPr>
        <w:spacing w:before="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before="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Alumno:</w:t>
      </w:r>
      <w:r w:rsidDel="00000000" w:rsidR="00000000" w:rsidRPr="00000000">
        <w:rPr>
          <w:rtl w:val="0"/>
        </w:rPr>
      </w:r>
    </w:p>
    <w:p w:rsidR="00000000" w:rsidDel="00000000" w:rsidP="00000000" w:rsidRDefault="00000000" w:rsidRPr="00000000" w14:paraId="0000000F">
      <w:pPr>
        <w:spacing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Karla Nuñez Cano A01736765</w:t>
      </w:r>
    </w:p>
    <w:p w:rsidR="00000000" w:rsidDel="00000000" w:rsidP="00000000" w:rsidRDefault="00000000" w:rsidRPr="00000000" w14:paraId="00000010">
      <w:pPr>
        <w:spacing w:before="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before="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before="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entrega:</w:t>
      </w:r>
    </w:p>
    <w:p w:rsidR="00000000" w:rsidDel="00000000" w:rsidP="00000000" w:rsidRDefault="00000000" w:rsidRPr="00000000" w14:paraId="00000013">
      <w:pPr>
        <w:jc w:val="center"/>
        <w:rPr/>
      </w:pPr>
      <w:r w:rsidDel="00000000" w:rsidR="00000000" w:rsidRPr="00000000">
        <w:rPr>
          <w:rFonts w:ascii="Times New Roman" w:cs="Times New Roman" w:eastAsia="Times New Roman" w:hAnsi="Times New Roman"/>
          <w:sz w:val="24"/>
          <w:szCs w:val="24"/>
          <w:rtl w:val="0"/>
        </w:rPr>
        <w:t xml:space="preserve">17 de noviembre del 2023</w:t>
      </w: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Actividad 4 (Extracción de Características)</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1:</w:t>
      </w:r>
      <w:r w:rsidDel="00000000" w:rsidR="00000000" w:rsidRPr="00000000">
        <w:rPr>
          <w:rFonts w:ascii="Times New Roman" w:cs="Times New Roman" w:eastAsia="Times New Roman" w:hAnsi="Times New Roman"/>
          <w:sz w:val="24"/>
          <w:szCs w:val="24"/>
          <w:rtl w:val="0"/>
        </w:rPr>
        <w:t xml:space="preserve"> Filtro “_title” se puede observar que tanto en la tabla de frecuencia como en la gráfica de barras el dia que mas se encuesto fue el 9 de noviembre del 2022 con 73 encuestas mientras que el dia que menos se encuesto fue el dia 4 de noviembre del 2022 con 9 encuestas.</w:t>
      </w:r>
    </w:p>
    <w:p w:rsidR="00000000" w:rsidDel="00000000" w:rsidP="00000000" w:rsidRDefault="00000000" w:rsidRPr="00000000" w14:paraId="00000016">
      <w:pPr>
        <w:rPr/>
      </w:pPr>
      <w:r w:rsidDel="00000000" w:rsidR="00000000" w:rsidRPr="00000000">
        <w:rPr/>
        <w:drawing>
          <wp:inline distB="114300" distT="114300" distL="114300" distR="114300">
            <wp:extent cx="5734050" cy="3563838"/>
            <wp:effectExtent b="0" l="0" r="0" t="0"/>
            <wp:docPr id="38" name="image39.png"/>
            <a:graphic>
              <a:graphicData uri="http://schemas.openxmlformats.org/drawingml/2006/picture">
                <pic:pic>
                  <pic:nvPicPr>
                    <pic:cNvPr id="0" name="image39.png"/>
                    <pic:cNvPicPr preferRelativeResize="0"/>
                  </pic:nvPicPr>
                  <pic:blipFill>
                    <a:blip r:embed="rId7"/>
                    <a:srcRect b="18661" l="0" r="0" t="0"/>
                    <a:stretch>
                      <a:fillRect/>
                    </a:stretch>
                  </pic:blipFill>
                  <pic:spPr>
                    <a:xfrm>
                      <a:off x="0" y="0"/>
                      <a:ext cx="5734050" cy="35638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3530600"/>
            <wp:effectExtent b="0" l="0" r="0" t="0"/>
            <wp:docPr id="6"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731200" cy="3530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Filtro “_updated_by” se puede observar que tanto en la tabla de frecuencia como en la gráfica de dispersión solamente una persona que fue Salomon Abdala Perez hizo 20 encuestas que fue el máximo mientras que Yael Loeza, Manuel Flores, Juan Spinola, Azael Mendoza, Irvin Vazquez Figueroa y Sebastian Salem Barranco Olvera hicieron 2 encuestas.</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0000" cy="3013200"/>
            <wp:effectExtent b="0" l="0" r="0" t="0"/>
            <wp:docPr id="25"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3240000" cy="3013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0000" cy="1652400"/>
            <wp:effectExtent b="0" l="0" r="0" t="0"/>
            <wp:docPr id="3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240000" cy="1652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0000" cy="30492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60000" cy="3049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3:</w:t>
      </w:r>
      <w:r w:rsidDel="00000000" w:rsidR="00000000" w:rsidRPr="00000000">
        <w:rPr>
          <w:rFonts w:ascii="Times New Roman" w:cs="Times New Roman" w:eastAsia="Times New Roman" w:hAnsi="Times New Roman"/>
          <w:sz w:val="24"/>
          <w:szCs w:val="24"/>
          <w:rtl w:val="0"/>
        </w:rPr>
        <w:t xml:space="preserve"> Filtro “229_store_picture” se puede observar que tanto en la tabla de frecuencia como en la gráfica de área hubo 166 personas que tomaron 1 foto mientras que solo 5 personas tomaron 2 fotos. </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6900" cy="1809750"/>
            <wp:effectExtent b="0" l="0" r="0" t="0"/>
            <wp:docPr id="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6769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3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2552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4:</w:t>
      </w:r>
      <w:r w:rsidDel="00000000" w:rsidR="00000000" w:rsidRPr="00000000">
        <w:rPr>
          <w:rFonts w:ascii="Times New Roman" w:cs="Times New Roman" w:eastAsia="Times New Roman" w:hAnsi="Times New Roman"/>
          <w:sz w:val="24"/>
          <w:szCs w:val="24"/>
          <w:rtl w:val="0"/>
        </w:rPr>
        <w:t xml:space="preserve"> Filtro “232_type_of_store” se puede observar que tanto en la tabla de frecuencia como en el gráfico de pastel hay más “Grocery store” con 52 de estas y la que menos hay es “Ferretería”, “Objetos”, “Papelería”, “Handmade products” con 2 tiendas por categoría.</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0370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22"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731200" cy="304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5:</w:t>
      </w:r>
      <w:r w:rsidDel="00000000" w:rsidR="00000000" w:rsidRPr="00000000">
        <w:rPr>
          <w:rFonts w:ascii="Times New Roman" w:cs="Times New Roman" w:eastAsia="Times New Roman" w:hAnsi="Times New Roman"/>
          <w:sz w:val="24"/>
          <w:szCs w:val="24"/>
          <w:rtl w:val="0"/>
        </w:rPr>
        <w:t xml:space="preserve"> Filtro “108_does_the_micro_retailer_has_a_barred_window_” se puede observar que tanto en la tabla de frecuencia como en el gráfico hexagonal hay 124 negocios que no tienen ventanas enrejadas y 47 negocios que si tienen ventanas enrejadas.</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30300"/>
            <wp:effectExtent b="0" l="0" r="0" t="0"/>
            <wp:docPr id="39"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7"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3149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6:</w:t>
      </w:r>
      <w:r w:rsidDel="00000000" w:rsidR="00000000" w:rsidRPr="00000000">
        <w:rPr>
          <w:rFonts w:ascii="Times New Roman" w:cs="Times New Roman" w:eastAsia="Times New Roman" w:hAnsi="Times New Roman"/>
          <w:sz w:val="24"/>
          <w:szCs w:val="24"/>
          <w:rtl w:val="0"/>
        </w:rPr>
        <w:t xml:space="preserve"> Filtro “99_does_the_micro_retailer_exhibits_products_outside_” se puede observar que tanto en la tabla de frecuencia como en el gráfico de barras 120 negocios no exhiben productos al exterior de su tienda y 51 negocios si exhiben productos al exterior de su tienda.</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79500"/>
            <wp:effectExtent b="0" l="0" r="0" t="0"/>
            <wp:docPr id="24"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05100"/>
            <wp:effectExtent b="0" l="0" r="0" t="0"/>
            <wp:docPr id="34"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1200" cy="2705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7:</w:t>
      </w:r>
      <w:r w:rsidDel="00000000" w:rsidR="00000000" w:rsidRPr="00000000">
        <w:rPr>
          <w:rFonts w:ascii="Times New Roman" w:cs="Times New Roman" w:eastAsia="Times New Roman" w:hAnsi="Times New Roman"/>
          <w:sz w:val="24"/>
          <w:szCs w:val="24"/>
          <w:rtl w:val="0"/>
        </w:rPr>
        <w:t xml:space="preserve"> Filtro “102_does_the_micro_retailer_sells_fresh_products_” se puede observar que tanto en la tabla de frecuencia como en el gráfico de dispersión que 105 micronegocios no venden productos frescos mientras que 66 si venden productos frescos.</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04900"/>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4086225"/>
            <wp:effectExtent b="0" l="0" r="0" t="0"/>
            <wp:docPr id="41"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57212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8:</w:t>
      </w:r>
      <w:r w:rsidDel="00000000" w:rsidR="00000000" w:rsidRPr="00000000">
        <w:rPr>
          <w:rFonts w:ascii="Times New Roman" w:cs="Times New Roman" w:eastAsia="Times New Roman" w:hAnsi="Times New Roman"/>
          <w:sz w:val="24"/>
          <w:szCs w:val="24"/>
          <w:rtl w:val="0"/>
        </w:rPr>
        <w:t xml:space="preserve"> Filtro “184_store_devices” se puede observar que tanto en la tabla de frecuencia como en el gráfico de barras el dispositivo con el que más cuentan los micronegocios es con celulares ya que 52 cuentan con estos y el que menos es “Dataphone (i.e. card payments),POS system (i.e. computer + bar code scanner + printer),Security cameras”, “POS system (i.e. computer + bar code scanner + printer),Security cameras”, “Analog cash register,Dataphone (i.e. card payments),Security cameras,Smartphone”, “Analog cash register,Dataphone (i.e. card payments),Security cameras”, “Analog cash register,Dataphone (i.e. card payments)” y “Dataphone (i.e. card payments),POS system (i.e. computer + bar code scanner + printer)” con solo 2 por opción.</w:t>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0000" cy="2293200"/>
            <wp:effectExtent b="0" l="0" r="0" t="0"/>
            <wp:docPr id="40"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2520000" cy="2293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0000" cy="655200"/>
            <wp:effectExtent b="0" l="0" r="0" t="0"/>
            <wp:docPr id="3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520000" cy="655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0000" cy="3884400"/>
            <wp:effectExtent b="0" l="0" r="0" t="0"/>
            <wp:docPr id="3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880000" cy="388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9:</w:t>
      </w:r>
      <w:r w:rsidDel="00000000" w:rsidR="00000000" w:rsidRPr="00000000">
        <w:rPr>
          <w:rFonts w:ascii="Times New Roman" w:cs="Times New Roman" w:eastAsia="Times New Roman" w:hAnsi="Times New Roman"/>
          <w:sz w:val="24"/>
          <w:szCs w:val="24"/>
          <w:rtl w:val="0"/>
        </w:rPr>
        <w:t xml:space="preserve"> Filtro “pictures_of_shelves_if_possible” se puede observar que tanto en la tabla de frecuencia como en el gráfico de pastel 152 encuestas no tuvieron fotos de los estantes del micronegocio y solo 2 obtuvieron 3 fotos de los estantes.</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17700"/>
            <wp:effectExtent b="0" l="0" r="0" t="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4610100"/>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15000" cy="461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10:</w:t>
      </w:r>
      <w:r w:rsidDel="00000000" w:rsidR="00000000" w:rsidRPr="00000000">
        <w:rPr>
          <w:rFonts w:ascii="Times New Roman" w:cs="Times New Roman" w:eastAsia="Times New Roman" w:hAnsi="Times New Roman"/>
          <w:sz w:val="24"/>
          <w:szCs w:val="24"/>
          <w:rtl w:val="0"/>
        </w:rPr>
        <w:t xml:space="preserve"> Filtro “hola_somos_estudiantes_del_tec_de_monterrey_estamos_realiz” se puede observar que tanto en la tabla de frecuencia como en el gráfico hexagonal 113 micronegocios accedieron a ser encuestados mientras que 58 micronegocios no quisieron.</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03300"/>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38500"/>
            <wp:effectExtent b="0" l="0" r="0" t="0"/>
            <wp:docPr id="1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3238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11:</w:t>
      </w:r>
      <w:r w:rsidDel="00000000" w:rsidR="00000000" w:rsidRPr="00000000">
        <w:rPr>
          <w:rFonts w:ascii="Times New Roman" w:cs="Times New Roman" w:eastAsia="Times New Roman" w:hAnsi="Times New Roman"/>
          <w:sz w:val="24"/>
          <w:szCs w:val="24"/>
          <w:rtl w:val="0"/>
        </w:rPr>
        <w:t xml:space="preserve"> Filtro “le_comento_que_toda_esta_informacin_es_confidencial” se puede observar que tanto en la tabla de frecuencia como en el gráfico de barras 164 micronegocios acpetaron al acuerdo de confidencialidad mientras que 7 no aceptaron a este.</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41400"/>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28900"/>
            <wp:effectExtent b="0" l="0" r="0" t="0"/>
            <wp:docPr id="33"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731200" cy="2628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12:</w:t>
      </w:r>
      <w:r w:rsidDel="00000000" w:rsidR="00000000" w:rsidRPr="00000000">
        <w:rPr>
          <w:rFonts w:ascii="Times New Roman" w:cs="Times New Roman" w:eastAsia="Times New Roman" w:hAnsi="Times New Roman"/>
          <w:sz w:val="24"/>
          <w:szCs w:val="24"/>
          <w:rtl w:val="0"/>
        </w:rPr>
        <w:t xml:space="preserve"> Filtro “5_change_store_space_last_year” se puede observar que tanto en la tabla de frecuencia como en el gráfico de dispersión 132 micronegocios no cambiaron el espacio de su local en el año pasado mientras que 3 micronegocios si cambiaron ya que su espacio se redujo a un 50% o más.</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2676525"/>
            <wp:effectExtent b="0" l="0" r="0" t="0"/>
            <wp:docPr id="20"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2673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5900" cy="4029075"/>
            <wp:effectExtent b="0" l="0" r="0" t="0"/>
            <wp:docPr id="31"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29590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13:</w:t>
      </w:r>
      <w:r w:rsidDel="00000000" w:rsidR="00000000" w:rsidRPr="00000000">
        <w:rPr>
          <w:rFonts w:ascii="Times New Roman" w:cs="Times New Roman" w:eastAsia="Times New Roman" w:hAnsi="Times New Roman"/>
          <w:sz w:val="24"/>
          <w:szCs w:val="24"/>
          <w:rtl w:val="0"/>
        </w:rPr>
        <w:t xml:space="preserve"> Filtro “6_change_employees_average_salary_last_year” se puede observar que tanto en la tabla de frecuencia como en el gráfico de área 136 micronegocios no cambiaron el sueldo de sus empleados en comparación con el año anterior y en contraste 3 micronegocios si cambiaron el salario de sus empleados a un 25% menor. </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84400"/>
            <wp:effectExtent b="0" l="0" r="0" t="0"/>
            <wp:docPr id="2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65400"/>
            <wp:effectExtent b="0" l="0" r="0" t="0"/>
            <wp:docPr id="1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14:</w:t>
      </w:r>
      <w:r w:rsidDel="00000000" w:rsidR="00000000" w:rsidRPr="00000000">
        <w:rPr>
          <w:rFonts w:ascii="Times New Roman" w:cs="Times New Roman" w:eastAsia="Times New Roman" w:hAnsi="Times New Roman"/>
          <w:sz w:val="24"/>
          <w:szCs w:val="24"/>
          <w:rtl w:val="0"/>
        </w:rPr>
        <w:t xml:space="preserve"> Filtro “20_reviews_finances_monthly” se puede observar que tanto en la tabla de frecuencia como en el gráfico de pastel 127 micronegocios si checan sus finanzas mensualmente mientras que 44 no lo hacen.</w:t>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9675" cy="1228725"/>
            <wp:effectExtent b="0" l="0" r="0" t="0"/>
            <wp:docPr id="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0196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3295650"/>
            <wp:effectExtent b="0" l="0" r="0" t="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3743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15:</w:t>
      </w:r>
      <w:r w:rsidDel="00000000" w:rsidR="00000000" w:rsidRPr="00000000">
        <w:rPr>
          <w:rFonts w:ascii="Times New Roman" w:cs="Times New Roman" w:eastAsia="Times New Roman" w:hAnsi="Times New Roman"/>
          <w:sz w:val="24"/>
          <w:szCs w:val="24"/>
          <w:rtl w:val="0"/>
        </w:rPr>
        <w:t xml:space="preserve"> Filtro “49_inventory_records” se puede observar que tanto en la tabla de frecuencia como en el gráfico hexagonal 82 micronegocios utilizan software especializado en la computadora para hacer su inventario mientras que solo 7 micronegocios hacen su inventario en excel y en papel.</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2171700"/>
            <wp:effectExtent b="0" l="0" r="0" t="0"/>
            <wp:docPr id="19"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553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89300"/>
            <wp:effectExtent b="0" l="0" r="0" t="0"/>
            <wp:docPr id="1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200" cy="328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16:</w:t>
      </w:r>
      <w:r w:rsidDel="00000000" w:rsidR="00000000" w:rsidRPr="00000000">
        <w:rPr>
          <w:rFonts w:ascii="Times New Roman" w:cs="Times New Roman" w:eastAsia="Times New Roman" w:hAnsi="Times New Roman"/>
          <w:sz w:val="24"/>
          <w:szCs w:val="24"/>
          <w:rtl w:val="0"/>
        </w:rPr>
        <w:t xml:space="preserve"> Filtro “18_sales_records” se puede observar que tanto en la tabla de frecuencia como en el gráfico de barras 67 micronegocios registran sus ventas en papel y solo 3 lo hacen en la caja registradora (análoga), en excel y papel.</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24100"/>
            <wp:effectExtent b="0" l="0" r="0" t="0"/>
            <wp:docPr id="17"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8600" cy="5381625"/>
            <wp:effectExtent b="0" l="0" r="0" t="0"/>
            <wp:docPr id="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038600"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17:</w:t>
      </w:r>
      <w:r w:rsidDel="00000000" w:rsidR="00000000" w:rsidRPr="00000000">
        <w:rPr>
          <w:rFonts w:ascii="Times New Roman" w:cs="Times New Roman" w:eastAsia="Times New Roman" w:hAnsi="Times New Roman"/>
          <w:sz w:val="24"/>
          <w:szCs w:val="24"/>
          <w:rtl w:val="0"/>
        </w:rPr>
        <w:t xml:space="preserve"> Filtro “155_sales_registers_used_for” se puede observar que tanto en la tabla de frecuencia como en el gráfico de dispersión 133 micronegocios no utilizan registros de ventas y 18 micronegocios llevan el registro de sus ventas al dia.</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1727200"/>
            <wp:effectExtent b="0" l="0" r="0" t="0"/>
            <wp:docPr id="1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05300"/>
            <wp:effectExtent b="0" l="0" r="0" t="0"/>
            <wp:docPr id="28"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1200" cy="430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18:</w:t>
      </w:r>
      <w:r w:rsidDel="00000000" w:rsidR="00000000" w:rsidRPr="00000000">
        <w:rPr>
          <w:rFonts w:ascii="Times New Roman" w:cs="Times New Roman" w:eastAsia="Times New Roman" w:hAnsi="Times New Roman"/>
          <w:sz w:val="24"/>
          <w:szCs w:val="24"/>
          <w:rtl w:val="0"/>
        </w:rPr>
        <w:t xml:space="preserve"> Filtro “103_number_own_fridges” se puede observar que tanto en la tabla de frecuencia como en el gráfico de área 144 micronegocios cuentan con un refrigerador mientras que 2 micronegocios cuentan con 3, otros 2 con 7 y otros 2 con 5 refrigeradores. </w:t>
      </w:r>
    </w:p>
    <w:p w:rsidR="00000000" w:rsidDel="00000000" w:rsidP="00000000" w:rsidRDefault="00000000" w:rsidRPr="00000000" w14:paraId="00000051">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14950" cy="3028950"/>
            <wp:effectExtent b="0" l="0" r="0" t="0"/>
            <wp:docPr id="37"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3149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2603500"/>
            <wp:effectExtent b="0" l="0" r="0" t="0"/>
            <wp:docPr id="43"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731200" cy="2603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19:</w:t>
      </w:r>
      <w:r w:rsidDel="00000000" w:rsidR="00000000" w:rsidRPr="00000000">
        <w:rPr>
          <w:rFonts w:ascii="Times New Roman" w:cs="Times New Roman" w:eastAsia="Times New Roman" w:hAnsi="Times New Roman"/>
          <w:sz w:val="24"/>
          <w:szCs w:val="24"/>
          <w:rtl w:val="0"/>
        </w:rPr>
        <w:t xml:space="preserve"> Filtro “19_tax_id” se puede observar que tanto en la tabla de frecuencia como en el gráfico de pastel en 71 micronegocios no aplica el tener un identificador de impuesto o RFC mientras que 30 micronegocios simplemente no tienen.</w:t>
      </w:r>
    </w:p>
    <w:p w:rsidR="00000000" w:rsidDel="00000000" w:rsidP="00000000" w:rsidRDefault="00000000" w:rsidRPr="00000000" w14:paraId="00000054">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295775" cy="1600200"/>
            <wp:effectExtent b="0" l="0" r="0" t="0"/>
            <wp:docPr id="42"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42957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248150" cy="3771900"/>
            <wp:effectExtent b="0" l="0" r="0" t="0"/>
            <wp:docPr id="27"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42481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Filtro 20:</w:t>
      </w:r>
      <w:r w:rsidDel="00000000" w:rsidR="00000000" w:rsidRPr="00000000">
        <w:rPr>
          <w:rFonts w:ascii="Times New Roman" w:cs="Times New Roman" w:eastAsia="Times New Roman" w:hAnsi="Times New Roman"/>
          <w:sz w:val="24"/>
          <w:szCs w:val="24"/>
          <w:rtl w:val="0"/>
        </w:rPr>
        <w:t xml:space="preserve"> Filtro “310_burnout” se puede observar que tanto en la tabla de frecuencia como en el gráfico hexagonal 68 micronegocios no han tenido desabasto mientras que 39 si lo han tenido.</w:t>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3875" cy="1781175"/>
            <wp:effectExtent b="0" l="0" r="0" t="0"/>
            <wp:docPr id="1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43338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02000"/>
            <wp:effectExtent b="0" l="0" r="0" t="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731200" cy="330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sectPr>
      <w:head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7.png"/><Relationship Id="rId41" Type="http://schemas.openxmlformats.org/officeDocument/2006/relationships/image" Target="media/image6.png"/><Relationship Id="rId44" Type="http://schemas.openxmlformats.org/officeDocument/2006/relationships/image" Target="media/image37.png"/><Relationship Id="rId43" Type="http://schemas.openxmlformats.org/officeDocument/2006/relationships/image" Target="media/image30.png"/><Relationship Id="rId46" Type="http://schemas.openxmlformats.org/officeDocument/2006/relationships/image" Target="media/image19.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23.png"/><Relationship Id="rId47" Type="http://schemas.openxmlformats.org/officeDocument/2006/relationships/image" Target="media/image1.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39.png"/><Relationship Id="rId8" Type="http://schemas.openxmlformats.org/officeDocument/2006/relationships/image" Target="media/image38.png"/><Relationship Id="rId31" Type="http://schemas.openxmlformats.org/officeDocument/2006/relationships/image" Target="media/image14.png"/><Relationship Id="rId30" Type="http://schemas.openxmlformats.org/officeDocument/2006/relationships/image" Target="media/image43.png"/><Relationship Id="rId33" Type="http://schemas.openxmlformats.org/officeDocument/2006/relationships/image" Target="media/image25.png"/><Relationship Id="rId32" Type="http://schemas.openxmlformats.org/officeDocument/2006/relationships/image" Target="media/image27.png"/><Relationship Id="rId35" Type="http://schemas.openxmlformats.org/officeDocument/2006/relationships/image" Target="media/image12.png"/><Relationship Id="rId34"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8.png"/><Relationship Id="rId39" Type="http://schemas.openxmlformats.org/officeDocument/2006/relationships/image" Target="media/image15.png"/><Relationship Id="rId38" Type="http://schemas.openxmlformats.org/officeDocument/2006/relationships/image" Target="media/image10.png"/><Relationship Id="rId20" Type="http://schemas.openxmlformats.org/officeDocument/2006/relationships/image" Target="media/image3.png"/><Relationship Id="rId22" Type="http://schemas.openxmlformats.org/officeDocument/2006/relationships/image" Target="media/image36.png"/><Relationship Id="rId21" Type="http://schemas.openxmlformats.org/officeDocument/2006/relationships/image" Target="media/image34.png"/><Relationship Id="rId24" Type="http://schemas.openxmlformats.org/officeDocument/2006/relationships/image" Target="media/image22.png"/><Relationship Id="rId23" Type="http://schemas.openxmlformats.org/officeDocument/2006/relationships/image" Target="media/image24.png"/><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image" Target="media/image13.png"/><Relationship Id="rId27" Type="http://schemas.openxmlformats.org/officeDocument/2006/relationships/image" Target="media/image7.png"/><Relationship Id="rId29"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26.png"/><Relationship Id="rId13" Type="http://schemas.openxmlformats.org/officeDocument/2006/relationships/image" Target="media/image28.png"/><Relationship Id="rId12" Type="http://schemas.openxmlformats.org/officeDocument/2006/relationships/image" Target="media/image16.png"/><Relationship Id="rId15" Type="http://schemas.openxmlformats.org/officeDocument/2006/relationships/image" Target="media/image41.png"/><Relationship Id="rId14" Type="http://schemas.openxmlformats.org/officeDocument/2006/relationships/image" Target="media/image8.png"/><Relationship Id="rId17" Type="http://schemas.openxmlformats.org/officeDocument/2006/relationships/image" Target="media/image31.png"/><Relationship Id="rId16" Type="http://schemas.openxmlformats.org/officeDocument/2006/relationships/image" Target="media/image29.png"/><Relationship Id="rId19" Type="http://schemas.openxmlformats.org/officeDocument/2006/relationships/image" Target="media/image32.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