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Farmawiki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Farmawiki</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Google Meet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14/10/2024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Jose Gonzalez</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Gaete</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Camilo Pulgar</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Jose Gonzalez</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Gaete</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Camilo Pulgar</w:t>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Los acierto hacia la elección de la paleta de colores le encanto al cliente, al igual que la muestra de mensaje dejando como responsabilidad al usuario.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Varias funciones y empezar con los cimientos de la página web fueron posibles gracias al trabajo en equipo que se realizó.</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esta iteración la utilización de la api fue más compleja, ya que la documentación respecto a ella era muy poca y además algunos medicamentos no los encontraba en su base de datos.</w:t>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El terminar de implementar las nuevas funciones correspondientes al sprint, además de intentar arreglar el error que nos entrega la API ya que no muestra todos los medicamentos que puedan solicitarse.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240" w:lineRule="auto"/>
        <w:ind w:left="0" w:firstLine="0"/>
        <w:rPr>
          <w:rFonts w:ascii="Arial" w:cs="Arial" w:eastAsia="Arial" w:hAnsi="Arial"/>
          <w:color w:val="000000"/>
          <w:sz w:val="20"/>
          <w:szCs w:val="20"/>
          <w:vertAlign w:val="baseline"/>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vL2i+1Jk7/5WunVOGiaBpEEJCQ==">CgMxLjA4AHIhMUkwTE5PMl9aN2tMdU53cDRiQW9IZmt5TU5nREFLNUhm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