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both"/>
      </w:pPr>
      <w:r>
        <w:rPr>
          <w:rFonts w:ascii="Arial" w:hAnsi="Arial" w:eastAsia="Arial"/>
          <w:b/>
          <w:sz w:val="24"/>
        </w:rPr>
        <w:t>PARECER TÉCNICO - CRIMES NAS CONTESTAÇÕES</w:t>
      </w:r>
    </w:p>
    <w:p>
      <w:pPr>
        <w:spacing w:line="360" w:lineRule="auto"/>
        <w:jc w:val="both"/>
      </w:pPr>
      <w:r>
        <w:rPr>
          <w:rFonts w:ascii="Arial" w:hAnsi="Arial" w:eastAsia="Arial"/>
          <w:sz w:val="24"/>
        </w:rPr>
        <w:t>Belém, 11 de dezembro de 2025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4"/>
        </w:rPr>
        <w:t>EMENTA</w:t>
      </w:r>
    </w:p>
    <w:p>
      <w:pPr>
        <w:spacing w:line="360" w:lineRule="auto"/>
        <w:jc w:val="both"/>
      </w:pPr>
      <w:r>
        <w:rPr>
          <w:rFonts w:ascii="Arial" w:hAnsi="Arial" w:eastAsia="Arial"/>
          <w:sz w:val="24"/>
        </w:rPr>
        <w:t>Este parecer técnico analisa possíveis crimes encontrados nas contestações apresentadas.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4"/>
        </w:rPr>
        <w:t>RELATÓRIO</w:t>
      </w:r>
    </w:p>
    <w:p>
      <w:pPr>
        <w:spacing w:line="360" w:lineRule="auto"/>
        <w:jc w:val="both"/>
      </w:pPr>
      <w:r>
        <w:rPr>
          <w:rFonts w:ascii="Arial" w:hAnsi="Arial" w:eastAsia="Arial"/>
          <w:sz w:val="24"/>
        </w:rPr>
        <w:t>Foram analisadas diversas contestações no âmbito processual, verificando-se a presença de irregularidades que podem configurar condutas criminosas.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4"/>
        </w:rPr>
        <w:t>FUNDAMENTAÇÃO</w:t>
      </w:r>
    </w:p>
    <w:p>
      <w:pPr>
        <w:spacing w:line="360" w:lineRule="auto"/>
        <w:jc w:val="both"/>
      </w:pPr>
      <w:r>
        <w:rPr>
          <w:rFonts w:ascii="Arial" w:hAnsi="Arial" w:eastAsia="Arial"/>
          <w:sz w:val="24"/>
        </w:rPr>
        <w:t>Com base no Código Penal Brasileiro e na legislação processual vigente, identificaram-se indícios de crimes contra a administração da justiça, incluindo possível falsidade ideológica e denunciação caluniosa.</w:t>
      </w:r>
    </w:p>
    <w:p>
      <w:pPr>
        <w:spacing w:line="360" w:lineRule="auto"/>
        <w:jc w:val="both"/>
      </w:pPr>
      <w:r>
        <w:rPr>
          <w:rFonts w:ascii="Arial" w:hAnsi="Arial" w:eastAsia="Arial"/>
          <w:b/>
          <w:sz w:val="24"/>
        </w:rPr>
        <w:t>CONCLUSÃO</w:t>
      </w:r>
    </w:p>
    <w:p>
      <w:pPr>
        <w:spacing w:line="360" w:lineRule="auto"/>
        <w:jc w:val="both"/>
      </w:pPr>
      <w:r>
        <w:rPr>
          <w:rFonts w:ascii="Arial" w:hAnsi="Arial" w:eastAsia="Arial"/>
          <w:sz w:val="24"/>
        </w:rPr>
        <w:t>Diante dos fatos expostos, conclui-se pela necessidade de apuração mais detalhada das irregularidades identificadas, com possível encaminhamento ao Ministério Público.</w:t>
      </w:r>
    </w:p>
    <w:p>
      <w:pPr>
        <w:spacing w:line="360" w:lineRule="auto"/>
        <w:jc w:val="both"/>
      </w:pPr>
      <w:r>
        <w:rPr>
          <w:rFonts w:ascii="Arial" w:hAnsi="Arial" w:eastAsia="Arial"/>
          <w:sz w:val="24"/>
        </w:rPr>
      </w:r>
    </w:p>
    <w:p>
      <w:pPr>
        <w:spacing w:line="360" w:lineRule="auto"/>
        <w:jc w:val="both"/>
      </w:pPr>
      <w:r>
        <w:rPr>
          <w:rFonts w:ascii="Arial" w:hAnsi="Arial" w:eastAsia="Arial"/>
          <w:sz w:val="24"/>
        </w:rPr>
        <w:t>José Ivanildo da Costa Navegantes Junior - OAB 23.953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