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31" w:rsidRPr="000A742A" w:rsidRDefault="000A742A">
      <w:pPr>
        <w:rPr>
          <w:rFonts w:ascii="Verdana" w:hAnsi="Verdana"/>
          <w:color w:val="000000" w:themeColor="text1"/>
          <w:shd w:val="clear" w:color="auto" w:fill="EEEEE0"/>
        </w:rPr>
      </w:pPr>
      <w:r w:rsidRPr="000A742A">
        <w:rPr>
          <w:rFonts w:ascii="Verdana" w:hAnsi="Verdana"/>
          <w:color w:val="000000" w:themeColor="text1"/>
          <w:shd w:val="clear" w:color="auto" w:fill="EEEEE0"/>
        </w:rPr>
        <w:t>1. Na računalo sa 16-bitnom adresnom I 8-bitnom podatkovnom sabirnicom potrebno je spojiti dvije ulazno-izlazne jedinice A I B pri čemu jedinica A ima 12 8-bitni, a jedinica B 4 8-bitna registra. Obje jedinice pored odgovarajućeg broja adresnih I podatkovnih priključaka, posjeduju još I priključak R/W* te dva priključka E*. Jedinice je potrebno spojiti koristeći potpuno adresno dekodiranje , tako da tvore kontinuiran adresni prostor, pri čemu se jedinica A javlja na početnoj adresi 0xFF00, a jedinica B neposredno iza nje.</w:t>
      </w:r>
    </w:p>
    <w:p w:rsidR="000A742A" w:rsidRPr="000A742A" w:rsidRDefault="000A742A">
      <w:pPr>
        <w:rPr>
          <w:rFonts w:ascii="Verdana" w:hAnsi="Verdana"/>
          <w:color w:val="000000" w:themeColor="text1"/>
          <w:shd w:val="clear" w:color="auto" w:fill="EEEEE0"/>
        </w:rPr>
      </w:pPr>
      <w:r w:rsidRPr="000A742A">
        <w:rPr>
          <w:rFonts w:ascii="Verdana" w:hAnsi="Verdana"/>
          <w:color w:val="000000" w:themeColor="text1"/>
          <w:shd w:val="clear" w:color="auto" w:fill="EEEEE0"/>
        </w:rPr>
        <w:t>2. Na linijama A[15:0], D[7:0], R I W vanjske sabirnice pojednostavljenog modela procesora očitan je sljedeći niz logičkih vrijednosti: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($0100 $b6,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($0101 $10,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($0102 $11,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($1011 $ca,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($0103 $87,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($0104 $20,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($0105 $00, 1,0)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($9fff $06, 0,1)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($9ffe $01, 0,1)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$b6 LDA, $10 SUB, $01 INC, $ca STA, $87 CALL, $20 JMP, $00 NOP, $06 ADD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Prikažite početni sadržaj radne memorije koji bi mogao pobuditi ovakav slijed događanja vanjskoj sabirnici. Prikažite I odgovarajući program u asemblerskoj sintaksi korištenjem mnemonika.</w:t>
      </w:r>
    </w:p>
    <w:p w:rsidR="000A742A" w:rsidRPr="000A742A" w:rsidRDefault="000A742A">
      <w:pPr>
        <w:rPr>
          <w:rFonts w:ascii="Verdana" w:hAnsi="Verdana"/>
          <w:color w:val="000000" w:themeColor="text1"/>
          <w:shd w:val="clear" w:color="auto" w:fill="EEEEE0"/>
        </w:rPr>
      </w:pPr>
      <w:r w:rsidRPr="000A742A">
        <w:rPr>
          <w:rFonts w:ascii="Verdana" w:hAnsi="Verdana"/>
          <w:color w:val="000000" w:themeColor="text1"/>
          <w:shd w:val="clear" w:color="auto" w:fill="EEEEE0"/>
        </w:rPr>
        <w:t>3. Razmatramo priručnu memoriju podataka s 8 linija veličine 8 bajta I to u slučajevima izravnog preslikavanja (C1), dvostruke asocijativnosti (C2) I četverostruke asocijativnosti(C3).Zadan je popis 32-bitnih bajtnih pristupa memoriji podataka: 0x01, 0x86, 0xd4, 0x01, 0x87, 0xd5, 0xa2, 0xa1, 0x02, 0x2c, 0x29, 0xcd.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>U sva tri slučaja punjenje linije iznosi 25 perioda signala takta, dok vremena pristupa iznose 4 takta za C1, 5 taktova za C2 I 6 taktova za C3. Odredite najbolju I najgoru organizaciju za zadani slijed referenci s obzirom na prosječno vrijeme pristupa memoriji podataka, pod pretpostvkom da se koristi strategija zamjene NMRU.</w:t>
      </w:r>
    </w:p>
    <w:p w:rsidR="000A742A" w:rsidRPr="000A742A" w:rsidRDefault="000A742A">
      <w:pPr>
        <w:rPr>
          <w:rFonts w:ascii="Verdana" w:hAnsi="Verdana"/>
          <w:color w:val="000000" w:themeColor="text1"/>
          <w:shd w:val="clear" w:color="auto" w:fill="EEEEE0"/>
        </w:rPr>
      </w:pPr>
      <w:r w:rsidRPr="000A742A">
        <w:rPr>
          <w:rFonts w:ascii="Verdana" w:hAnsi="Verdana"/>
          <w:color w:val="000000" w:themeColor="text1"/>
          <w:shd w:val="clear" w:color="auto" w:fill="EEEEE0"/>
        </w:rPr>
        <w:t>4. Računalni pogram izvodi slijedeći slijed virtualnih adresa: 4095, 31272, 15789, 15000, 7193, 4096, 8912. Početno stanje potpuno asocijativnog TLB-as 4 zapisa I strategijom zamjene LRU zadano je trojkama (bit valjanosti,oznaka virtualne adrese, fizička adresa) kako slijedi:</w:t>
      </w:r>
      <w:r w:rsidRPr="000A742A">
        <w:rPr>
          <w:rFonts w:ascii="Verdana" w:hAnsi="Verdana"/>
          <w:color w:val="000000" w:themeColor="text1"/>
        </w:rPr>
        <w:br/>
      </w:r>
      <w:r w:rsidRPr="000A742A">
        <w:rPr>
          <w:rFonts w:ascii="Verdana" w:hAnsi="Verdana"/>
          <w:color w:val="000000" w:themeColor="text1"/>
          <w:shd w:val="clear" w:color="auto" w:fill="EEEEE0"/>
        </w:rPr>
        <w:t xml:space="preserve">(1,11,12), (1,7,4) ,(1,3,6), (0,4,9). Početno stanje stranične tablice zadano je </w:t>
      </w:r>
      <w:r w:rsidRPr="000A742A">
        <w:rPr>
          <w:rFonts w:ascii="Verdana" w:hAnsi="Verdana"/>
          <w:color w:val="000000" w:themeColor="text1"/>
          <w:shd w:val="clear" w:color="auto" w:fill="EEEEE0"/>
        </w:rPr>
        <w:lastRenderedPageBreak/>
        <w:t>parovima (bit prisutnosti, fizička stranica) kako slijedi :(1,5),(0,0),(0,0),(1,6),(1,9),(1,11),(0,0),(1,4), (0,0),(0,0),(1,3),(1,12). Potrebno je odrediti konačno stanje TLB-a I stranične tablice. Za svaki memorijski proistup navedite radi li se o pogotku TLB-a, pogotku u straničnoj tablici ili promašaju virtualne memorije sve pod pretpostavkom da stranice imaju veličinu od 4 kb.</w:t>
      </w:r>
    </w:p>
    <w:p w:rsidR="000A742A" w:rsidRPr="000A742A" w:rsidRDefault="000A742A">
      <w:pPr>
        <w:rPr>
          <w:color w:val="000000" w:themeColor="text1"/>
        </w:rPr>
      </w:pPr>
      <w:r w:rsidRPr="000A742A">
        <w:rPr>
          <w:rFonts w:ascii="Verdana" w:hAnsi="Verdana"/>
          <w:color w:val="000000" w:themeColor="text1"/>
          <w:shd w:val="clear" w:color="auto" w:fill="EEEEE0"/>
        </w:rPr>
        <w:t>5. Skicirati strojni kod za zbrajanje dvaju polja cijelih brojeva temeljenih na multimedijskim instrukcijama za obradu četveroznamenkastih vektora jednostruke preciznosti: movaps &lt;xmm_x&gt;;&lt;ea&gt; (upiši vektor na adresi &lt;ea&gt; u registar &lt;xmm_x&gt; ) , addps xmm,&lt;ea&gt; (prebroji vektor na adresi &lt;ea&gt; registru &lt;xmm_x&gt; ), I movaps &lt;ea&gt;,&lt;xmm_x&gt; (upiši vektori iz registra &lt;xmm_x&gt; na adresu &lt;ea&gt;). Pretpostavite da odredišno polje treba spremiti na mjesto prvog izvorišnog polja te da su početne adrese dvaju izvornih polja I njihova izvorna duljina zadane registrima r1,r2 I r3.</w:t>
      </w:r>
    </w:p>
    <w:sectPr w:rsidR="000A742A" w:rsidRPr="000A742A" w:rsidSect="00863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742A"/>
    <w:rsid w:val="000A742A"/>
    <w:rsid w:val="002F5941"/>
    <w:rsid w:val="004D2AEE"/>
    <w:rsid w:val="004D4DB3"/>
    <w:rsid w:val="00615304"/>
    <w:rsid w:val="008632AE"/>
    <w:rsid w:val="008D72E3"/>
    <w:rsid w:val="00A555F3"/>
    <w:rsid w:val="00A80ACB"/>
    <w:rsid w:val="00C974FC"/>
    <w:rsid w:val="00EA4DB3"/>
    <w:rsid w:val="00F2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Ida</cp:lastModifiedBy>
  <cp:revision>1</cp:revision>
  <dcterms:created xsi:type="dcterms:W3CDTF">2014-09-12T19:52:00Z</dcterms:created>
  <dcterms:modified xsi:type="dcterms:W3CDTF">2014-09-12T19:54:00Z</dcterms:modified>
</cp:coreProperties>
</file>