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F8D69" w14:textId="77777777" w:rsidR="00022ADC" w:rsidRDefault="00022ADC" w:rsidP="00022ADC">
      <w:pPr>
        <w:spacing w:before="240" w:after="240" w:line="360" w:lineRule="auto"/>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u w:val="single"/>
          <w:lang w:val="en-US"/>
        </w:rPr>
        <w:t>Supporting Information</w:t>
      </w:r>
      <w:r>
        <w:rPr>
          <w:rFonts w:ascii="Times New Roman" w:hAnsi="Times New Roman" w:cs="Times New Roman"/>
          <w:b/>
          <w:bCs/>
          <w:color w:val="000000" w:themeColor="text1"/>
          <w:sz w:val="28"/>
          <w:szCs w:val="28"/>
          <w:lang w:val="en-US"/>
        </w:rPr>
        <w:t xml:space="preserve"> </w:t>
      </w:r>
    </w:p>
    <w:p w14:paraId="544E5C82" w14:textId="59B0EC68" w:rsidR="00136F9D" w:rsidRDefault="00022ADC" w:rsidP="00022ADC">
      <w:pPr>
        <w:spacing w:before="240" w:after="240" w:line="360" w:lineRule="auto"/>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Combining continuous data on soil properties and land use to explore soil carbon changes and soil structure indicators</w:t>
      </w:r>
    </w:p>
    <w:p w14:paraId="44E09DF9" w14:textId="77777777" w:rsidR="00022ADC" w:rsidRDefault="00022ADC" w:rsidP="00022ADC">
      <w:pPr>
        <w:spacing w:before="240" w:after="240" w:line="360" w:lineRule="auto"/>
        <w:jc w:val="both"/>
        <w:rPr>
          <w:rFonts w:ascii="Times New Roman" w:hAnsi="Times New Roman" w:cs="Times New Roman"/>
          <w:b/>
          <w:bCs/>
          <w:color w:val="000000" w:themeColor="text1"/>
          <w:sz w:val="24"/>
          <w:szCs w:val="24"/>
          <w:vertAlign w:val="superscript"/>
          <w:lang w:val="en-US" w:eastAsia="ja-JP"/>
        </w:rPr>
      </w:pPr>
      <w:r>
        <w:rPr>
          <w:rFonts w:ascii="Times New Roman" w:hAnsi="Times New Roman" w:cs="Times New Roman"/>
          <w:b/>
          <w:bCs/>
          <w:color w:val="000000" w:themeColor="text1"/>
          <w:sz w:val="24"/>
          <w:szCs w:val="24"/>
          <w:lang w:val="en-US"/>
        </w:rPr>
        <w:t xml:space="preserve">Authors: </w:t>
      </w:r>
      <w:r>
        <w:rPr>
          <w:rFonts w:ascii="Times New Roman" w:hAnsi="Times New Roman" w:cs="Times New Roman"/>
          <w:b/>
          <w:bCs/>
          <w:color w:val="000000" w:themeColor="text1"/>
          <w:sz w:val="24"/>
          <w:szCs w:val="24"/>
          <w:lang w:val="en-US" w:eastAsia="ja-JP"/>
        </w:rPr>
        <w:t>Andreas Rehn</w:t>
      </w:r>
      <w:r>
        <w:rPr>
          <w:rFonts w:ascii="Times New Roman" w:hAnsi="Times New Roman" w:cs="Times New Roman"/>
          <w:b/>
          <w:bCs/>
          <w:color w:val="000000" w:themeColor="text1"/>
          <w:sz w:val="24"/>
          <w:szCs w:val="24"/>
          <w:vertAlign w:val="superscript"/>
          <w:lang w:val="en-US" w:eastAsia="ja-JP"/>
        </w:rPr>
        <w:t>1</w:t>
      </w:r>
      <w:r>
        <w:rPr>
          <w:rFonts w:ascii="Times New Roman" w:hAnsi="Times New Roman" w:cs="Times New Roman"/>
          <w:b/>
          <w:bCs/>
          <w:color w:val="000000" w:themeColor="text1"/>
          <w:sz w:val="24"/>
          <w:szCs w:val="24"/>
          <w:lang w:val="en-US" w:eastAsia="ja-JP"/>
        </w:rPr>
        <w:t>*, Göran Berndes</w:t>
      </w:r>
      <w:r>
        <w:rPr>
          <w:rFonts w:ascii="Times New Roman" w:hAnsi="Times New Roman" w:cs="Times New Roman"/>
          <w:b/>
          <w:bCs/>
          <w:color w:val="000000" w:themeColor="text1"/>
          <w:sz w:val="24"/>
          <w:szCs w:val="24"/>
          <w:vertAlign w:val="superscript"/>
          <w:lang w:val="en-US" w:eastAsia="ja-JP"/>
        </w:rPr>
        <w:t>1</w:t>
      </w:r>
      <w:r>
        <w:rPr>
          <w:rFonts w:ascii="Times New Roman" w:hAnsi="Times New Roman" w:cs="Times New Roman"/>
          <w:b/>
          <w:bCs/>
          <w:color w:val="000000" w:themeColor="text1"/>
          <w:sz w:val="24"/>
          <w:szCs w:val="24"/>
          <w:lang w:val="en-US" w:eastAsia="ja-JP"/>
        </w:rPr>
        <w:t>, Christel Cederberg</w:t>
      </w:r>
      <w:r>
        <w:rPr>
          <w:rFonts w:ascii="Times New Roman" w:hAnsi="Times New Roman" w:cs="Times New Roman"/>
          <w:b/>
          <w:bCs/>
          <w:color w:val="000000" w:themeColor="text1"/>
          <w:sz w:val="24"/>
          <w:szCs w:val="24"/>
          <w:vertAlign w:val="superscript"/>
          <w:lang w:val="en-US" w:eastAsia="ja-JP"/>
        </w:rPr>
        <w:t>1</w:t>
      </w:r>
      <w:r>
        <w:rPr>
          <w:rFonts w:ascii="Times New Roman" w:hAnsi="Times New Roman" w:cs="Times New Roman"/>
          <w:b/>
          <w:bCs/>
          <w:color w:val="000000" w:themeColor="text1"/>
          <w:sz w:val="24"/>
          <w:szCs w:val="24"/>
          <w:lang w:val="en-US" w:eastAsia="ja-JP"/>
        </w:rPr>
        <w:t>, Oskar Englund</w:t>
      </w:r>
      <w:r>
        <w:rPr>
          <w:rFonts w:ascii="Times New Roman" w:hAnsi="Times New Roman" w:cs="Times New Roman"/>
          <w:b/>
          <w:bCs/>
          <w:color w:val="000000" w:themeColor="text1"/>
          <w:sz w:val="24"/>
          <w:szCs w:val="24"/>
          <w:vertAlign w:val="superscript"/>
          <w:lang w:val="en-US" w:eastAsia="ja-JP"/>
        </w:rPr>
        <w:t>2</w:t>
      </w:r>
    </w:p>
    <w:sdt>
      <w:sdtPr>
        <w:rPr>
          <w:rFonts w:asciiTheme="minorHAnsi" w:eastAsiaTheme="minorHAnsi" w:hAnsiTheme="minorHAnsi" w:cstheme="minorBidi"/>
          <w:b w:val="0"/>
          <w:bCs w:val="0"/>
          <w:color w:val="auto"/>
          <w:sz w:val="22"/>
          <w:szCs w:val="22"/>
          <w:lang w:eastAsia="en-US"/>
        </w:rPr>
        <w:id w:val="-175273941"/>
        <w:docPartObj>
          <w:docPartGallery w:val="Table of Contents"/>
          <w:docPartUnique/>
        </w:docPartObj>
      </w:sdtPr>
      <w:sdtEndPr/>
      <w:sdtContent>
        <w:p w14:paraId="78192295" w14:textId="77777777" w:rsidR="00022ADC" w:rsidRPr="00EB2BF3" w:rsidRDefault="00022ADC" w:rsidP="00022ADC">
          <w:pPr>
            <w:pStyle w:val="Innehllsfrteckningsrubrik"/>
            <w:rPr>
              <w:rFonts w:ascii="Times New Roman" w:hAnsi="Times New Roman" w:cs="Times New Roman"/>
              <w:color w:val="000000" w:themeColor="text1"/>
              <w:sz w:val="24"/>
              <w:szCs w:val="24"/>
              <w:lang w:val="en-US"/>
            </w:rPr>
          </w:pPr>
          <w:r w:rsidRPr="00EB2BF3">
            <w:rPr>
              <w:rFonts w:ascii="Times New Roman" w:hAnsi="Times New Roman" w:cs="Times New Roman"/>
              <w:color w:val="000000" w:themeColor="text1"/>
              <w:sz w:val="24"/>
              <w:szCs w:val="24"/>
              <w:lang w:val="en-US"/>
            </w:rPr>
            <w:t>Table of Content</w:t>
          </w:r>
        </w:p>
        <w:p w14:paraId="037DC2AA" w14:textId="25D235EE" w:rsidR="0019792E" w:rsidRDefault="00022ADC">
          <w:pPr>
            <w:pStyle w:val="Innehll1"/>
            <w:tabs>
              <w:tab w:val="right" w:leader="dot" w:pos="9016"/>
            </w:tabs>
            <w:rPr>
              <w:rFonts w:eastAsiaTheme="minorEastAsia" w:cstheme="minorBidi"/>
              <w:b w:val="0"/>
              <w:bCs w:val="0"/>
              <w:noProof/>
              <w:kern w:val="2"/>
              <w:sz w:val="24"/>
              <w:szCs w:val="24"/>
              <w:lang w:eastAsia="sv-SE"/>
              <w14:ligatures w14:val="standardContextual"/>
            </w:rPr>
          </w:pPr>
          <w:r w:rsidRPr="00EB2BF3">
            <w:rPr>
              <w:sz w:val="18"/>
              <w:szCs w:val="18"/>
            </w:rPr>
            <w:fldChar w:fldCharType="begin"/>
          </w:r>
          <w:r w:rsidRPr="00EB2BF3">
            <w:rPr>
              <w:rStyle w:val="IndexLink"/>
              <w:rFonts w:ascii="Times New Roman" w:hAnsi="Times New Roman" w:cs="Times New Roman"/>
              <w:webHidden/>
              <w:sz w:val="18"/>
              <w:szCs w:val="18"/>
              <w:lang w:val="en-US"/>
            </w:rPr>
            <w:instrText xml:space="preserve"> TOC \z \o "1-3" \u \h</w:instrText>
          </w:r>
          <w:r w:rsidRPr="00EB2BF3">
            <w:rPr>
              <w:rStyle w:val="IndexLink"/>
              <w:rFonts w:ascii="Times New Roman" w:hAnsi="Times New Roman" w:cs="Times New Roman"/>
              <w:sz w:val="18"/>
              <w:szCs w:val="18"/>
              <w:lang w:val="en-US"/>
            </w:rPr>
            <w:fldChar w:fldCharType="separate"/>
          </w:r>
          <w:hyperlink w:anchor="_Toc152330765" w:history="1">
            <w:r w:rsidR="0019792E" w:rsidRPr="00554FEB">
              <w:rPr>
                <w:rStyle w:val="Hyperlnk"/>
                <w:rFonts w:cs="Times New Roman"/>
                <w:noProof/>
                <w:lang w:val="en-US"/>
              </w:rPr>
              <w:t>Supplementary tables</w:t>
            </w:r>
            <w:r w:rsidR="0019792E">
              <w:rPr>
                <w:noProof/>
                <w:webHidden/>
              </w:rPr>
              <w:tab/>
            </w:r>
            <w:r w:rsidR="0019792E">
              <w:rPr>
                <w:noProof/>
                <w:webHidden/>
              </w:rPr>
              <w:fldChar w:fldCharType="begin"/>
            </w:r>
            <w:r w:rsidR="0019792E">
              <w:rPr>
                <w:noProof/>
                <w:webHidden/>
              </w:rPr>
              <w:instrText xml:space="preserve"> PAGEREF _Toc152330765 \h </w:instrText>
            </w:r>
            <w:r w:rsidR="0019792E">
              <w:rPr>
                <w:noProof/>
                <w:webHidden/>
              </w:rPr>
            </w:r>
            <w:r w:rsidR="0019792E">
              <w:rPr>
                <w:noProof/>
                <w:webHidden/>
              </w:rPr>
              <w:fldChar w:fldCharType="separate"/>
            </w:r>
            <w:r w:rsidR="0019792E">
              <w:rPr>
                <w:noProof/>
                <w:webHidden/>
              </w:rPr>
              <w:t>2</w:t>
            </w:r>
            <w:r w:rsidR="0019792E">
              <w:rPr>
                <w:noProof/>
                <w:webHidden/>
              </w:rPr>
              <w:fldChar w:fldCharType="end"/>
            </w:r>
          </w:hyperlink>
        </w:p>
        <w:p w14:paraId="0AA1B2B3" w14:textId="635C017C" w:rsidR="0019792E" w:rsidRDefault="00036F3F">
          <w:pPr>
            <w:pStyle w:val="Innehll1"/>
            <w:tabs>
              <w:tab w:val="right" w:leader="dot" w:pos="9016"/>
            </w:tabs>
            <w:rPr>
              <w:rFonts w:eastAsiaTheme="minorEastAsia" w:cstheme="minorBidi"/>
              <w:b w:val="0"/>
              <w:bCs w:val="0"/>
              <w:noProof/>
              <w:kern w:val="2"/>
              <w:sz w:val="24"/>
              <w:szCs w:val="24"/>
              <w:lang w:eastAsia="sv-SE"/>
              <w14:ligatures w14:val="standardContextual"/>
            </w:rPr>
          </w:pPr>
          <w:hyperlink w:anchor="_Toc152330766" w:history="1">
            <w:r w:rsidR="0019792E" w:rsidRPr="00554FEB">
              <w:rPr>
                <w:rStyle w:val="Hyperlnk"/>
                <w:rFonts w:cs="Times New Roman"/>
                <w:noProof/>
                <w:lang w:val="en-US"/>
              </w:rPr>
              <w:t>SI – 1. SOC stock estimations based on linear models of bulk density</w:t>
            </w:r>
            <w:r w:rsidR="0019792E">
              <w:rPr>
                <w:noProof/>
                <w:webHidden/>
              </w:rPr>
              <w:tab/>
            </w:r>
            <w:r w:rsidR="0019792E">
              <w:rPr>
                <w:noProof/>
                <w:webHidden/>
              </w:rPr>
              <w:fldChar w:fldCharType="begin"/>
            </w:r>
            <w:r w:rsidR="0019792E">
              <w:rPr>
                <w:noProof/>
                <w:webHidden/>
              </w:rPr>
              <w:instrText xml:space="preserve"> PAGEREF _Toc152330766 \h </w:instrText>
            </w:r>
            <w:r w:rsidR="0019792E">
              <w:rPr>
                <w:noProof/>
                <w:webHidden/>
              </w:rPr>
            </w:r>
            <w:r w:rsidR="0019792E">
              <w:rPr>
                <w:noProof/>
                <w:webHidden/>
              </w:rPr>
              <w:fldChar w:fldCharType="separate"/>
            </w:r>
            <w:r w:rsidR="0019792E">
              <w:rPr>
                <w:noProof/>
                <w:webHidden/>
              </w:rPr>
              <w:t>2</w:t>
            </w:r>
            <w:r w:rsidR="0019792E">
              <w:rPr>
                <w:noProof/>
                <w:webHidden/>
              </w:rPr>
              <w:fldChar w:fldCharType="end"/>
            </w:r>
          </w:hyperlink>
        </w:p>
        <w:p w14:paraId="785146AE" w14:textId="42D17EEB" w:rsidR="0019792E" w:rsidRDefault="00036F3F">
          <w:pPr>
            <w:pStyle w:val="Innehll3"/>
            <w:tabs>
              <w:tab w:val="right" w:leader="dot" w:pos="9016"/>
            </w:tabs>
            <w:rPr>
              <w:rFonts w:eastAsiaTheme="minorEastAsia" w:cstheme="minorBidi"/>
              <w:noProof/>
              <w:kern w:val="2"/>
              <w:sz w:val="24"/>
              <w:szCs w:val="24"/>
              <w:lang w:eastAsia="sv-SE"/>
              <w14:ligatures w14:val="standardContextual"/>
            </w:rPr>
          </w:pPr>
          <w:hyperlink w:anchor="_Toc152330767" w:history="1">
            <w:r w:rsidR="0019792E" w:rsidRPr="00554FEB">
              <w:rPr>
                <w:rStyle w:val="Hyperlnk"/>
                <w:noProof/>
                <w:lang w:val="en-US"/>
              </w:rPr>
              <w:t>Table SI 1. Results from the Gaussian Error Propagation analysis concerning uncertainties associated with SOC stock estimations using the two bulk density equations for S1 and S2 samples, respectively.</w:t>
            </w:r>
            <w:r w:rsidR="0019792E">
              <w:rPr>
                <w:noProof/>
                <w:webHidden/>
              </w:rPr>
              <w:tab/>
            </w:r>
            <w:r w:rsidR="0019792E">
              <w:rPr>
                <w:noProof/>
                <w:webHidden/>
              </w:rPr>
              <w:fldChar w:fldCharType="begin"/>
            </w:r>
            <w:r w:rsidR="0019792E">
              <w:rPr>
                <w:noProof/>
                <w:webHidden/>
              </w:rPr>
              <w:instrText xml:space="preserve"> PAGEREF _Toc152330767 \h </w:instrText>
            </w:r>
            <w:r w:rsidR="0019792E">
              <w:rPr>
                <w:noProof/>
                <w:webHidden/>
              </w:rPr>
            </w:r>
            <w:r w:rsidR="0019792E">
              <w:rPr>
                <w:noProof/>
                <w:webHidden/>
              </w:rPr>
              <w:fldChar w:fldCharType="separate"/>
            </w:r>
            <w:r w:rsidR="0019792E">
              <w:rPr>
                <w:noProof/>
                <w:webHidden/>
              </w:rPr>
              <w:t>2</w:t>
            </w:r>
            <w:r w:rsidR="0019792E">
              <w:rPr>
                <w:noProof/>
                <w:webHidden/>
              </w:rPr>
              <w:fldChar w:fldCharType="end"/>
            </w:r>
          </w:hyperlink>
        </w:p>
        <w:p w14:paraId="61117041" w14:textId="31F7A45D" w:rsidR="0019792E" w:rsidRDefault="00036F3F">
          <w:pPr>
            <w:pStyle w:val="Innehll3"/>
            <w:tabs>
              <w:tab w:val="right" w:leader="dot" w:pos="9016"/>
            </w:tabs>
            <w:rPr>
              <w:rFonts w:eastAsiaTheme="minorEastAsia" w:cstheme="minorBidi"/>
              <w:noProof/>
              <w:kern w:val="2"/>
              <w:sz w:val="24"/>
              <w:szCs w:val="24"/>
              <w:lang w:eastAsia="sv-SE"/>
              <w14:ligatures w14:val="standardContextual"/>
            </w:rPr>
          </w:pPr>
          <w:hyperlink w:anchor="_Toc152330768" w:history="1">
            <w:r w:rsidR="0019792E" w:rsidRPr="00554FEB">
              <w:rPr>
                <w:rStyle w:val="Hyperlnk"/>
                <w:noProof/>
                <w:lang w:val="en-US"/>
              </w:rPr>
              <w:t>Table SI 2. Grouped statistics for SOC stock calculations.</w:t>
            </w:r>
            <w:r w:rsidR="0019792E">
              <w:rPr>
                <w:noProof/>
                <w:webHidden/>
              </w:rPr>
              <w:tab/>
            </w:r>
            <w:r w:rsidR="0019792E">
              <w:rPr>
                <w:noProof/>
                <w:webHidden/>
              </w:rPr>
              <w:fldChar w:fldCharType="begin"/>
            </w:r>
            <w:r w:rsidR="0019792E">
              <w:rPr>
                <w:noProof/>
                <w:webHidden/>
              </w:rPr>
              <w:instrText xml:space="preserve"> PAGEREF _Toc152330768 \h </w:instrText>
            </w:r>
            <w:r w:rsidR="0019792E">
              <w:rPr>
                <w:noProof/>
                <w:webHidden/>
              </w:rPr>
            </w:r>
            <w:r w:rsidR="0019792E">
              <w:rPr>
                <w:noProof/>
                <w:webHidden/>
              </w:rPr>
              <w:fldChar w:fldCharType="separate"/>
            </w:r>
            <w:r w:rsidR="0019792E">
              <w:rPr>
                <w:noProof/>
                <w:webHidden/>
              </w:rPr>
              <w:t>2</w:t>
            </w:r>
            <w:r w:rsidR="0019792E">
              <w:rPr>
                <w:noProof/>
                <w:webHidden/>
              </w:rPr>
              <w:fldChar w:fldCharType="end"/>
            </w:r>
          </w:hyperlink>
        </w:p>
        <w:p w14:paraId="750C4EF1" w14:textId="665CCA58" w:rsidR="0019792E" w:rsidRDefault="00036F3F">
          <w:pPr>
            <w:pStyle w:val="Innehll1"/>
            <w:tabs>
              <w:tab w:val="right" w:leader="dot" w:pos="9016"/>
            </w:tabs>
            <w:rPr>
              <w:rFonts w:eastAsiaTheme="minorEastAsia" w:cstheme="minorBidi"/>
              <w:b w:val="0"/>
              <w:bCs w:val="0"/>
              <w:noProof/>
              <w:kern w:val="2"/>
              <w:sz w:val="24"/>
              <w:szCs w:val="24"/>
              <w:lang w:eastAsia="sv-SE"/>
              <w14:ligatures w14:val="standardContextual"/>
            </w:rPr>
          </w:pPr>
          <w:hyperlink w:anchor="_Toc152330769" w:history="1">
            <w:r w:rsidR="0019792E" w:rsidRPr="00554FEB">
              <w:rPr>
                <w:rStyle w:val="Hyperlnk"/>
                <w:rFonts w:cs="Times New Roman"/>
                <w:noProof/>
                <w:lang w:val="en-US"/>
              </w:rPr>
              <w:t>SI – 2. Impact factors for soil organic carbon</w:t>
            </w:r>
            <w:r w:rsidR="0019792E">
              <w:rPr>
                <w:noProof/>
                <w:webHidden/>
              </w:rPr>
              <w:tab/>
            </w:r>
            <w:r w:rsidR="0019792E">
              <w:rPr>
                <w:noProof/>
                <w:webHidden/>
              </w:rPr>
              <w:fldChar w:fldCharType="begin"/>
            </w:r>
            <w:r w:rsidR="0019792E">
              <w:rPr>
                <w:noProof/>
                <w:webHidden/>
              </w:rPr>
              <w:instrText xml:space="preserve"> PAGEREF _Toc152330769 \h </w:instrText>
            </w:r>
            <w:r w:rsidR="0019792E">
              <w:rPr>
                <w:noProof/>
                <w:webHidden/>
              </w:rPr>
            </w:r>
            <w:r w:rsidR="0019792E">
              <w:rPr>
                <w:noProof/>
                <w:webHidden/>
              </w:rPr>
              <w:fldChar w:fldCharType="separate"/>
            </w:r>
            <w:r w:rsidR="0019792E">
              <w:rPr>
                <w:noProof/>
                <w:webHidden/>
              </w:rPr>
              <w:t>3</w:t>
            </w:r>
            <w:r w:rsidR="0019792E">
              <w:rPr>
                <w:noProof/>
                <w:webHidden/>
              </w:rPr>
              <w:fldChar w:fldCharType="end"/>
            </w:r>
          </w:hyperlink>
        </w:p>
        <w:p w14:paraId="743D71E1" w14:textId="47CB0EA9" w:rsidR="0019792E" w:rsidRDefault="00036F3F">
          <w:pPr>
            <w:pStyle w:val="Innehll3"/>
            <w:tabs>
              <w:tab w:val="right" w:leader="dot" w:pos="9016"/>
            </w:tabs>
            <w:rPr>
              <w:rFonts w:eastAsiaTheme="minorEastAsia" w:cstheme="minorBidi"/>
              <w:noProof/>
              <w:kern w:val="2"/>
              <w:sz w:val="24"/>
              <w:szCs w:val="24"/>
              <w:lang w:eastAsia="sv-SE"/>
              <w14:ligatures w14:val="standardContextual"/>
            </w:rPr>
          </w:pPr>
          <w:hyperlink w:anchor="_Toc152330770" w:history="1">
            <w:r w:rsidR="0019792E" w:rsidRPr="00554FEB">
              <w:rPr>
                <w:rStyle w:val="Hyperlnk"/>
                <w:noProof/>
                <w:lang w:val="en-US"/>
              </w:rPr>
              <w:t>Table SI 3.  Table with results from the Regression analysis on the field dataset. Eq 1 shows the regression analysis for SOC as the dependent variable. Bold value is the Intercept of the equation, and predictors in cursive and bold are statistically significant.  Below the equations, additional regression for the two dependent variables is found.  VIF = Variance Inflation Factor</w:t>
            </w:r>
            <w:r w:rsidR="0019792E">
              <w:rPr>
                <w:noProof/>
                <w:webHidden/>
              </w:rPr>
              <w:tab/>
            </w:r>
            <w:r w:rsidR="0019792E">
              <w:rPr>
                <w:noProof/>
                <w:webHidden/>
              </w:rPr>
              <w:fldChar w:fldCharType="begin"/>
            </w:r>
            <w:r w:rsidR="0019792E">
              <w:rPr>
                <w:noProof/>
                <w:webHidden/>
              </w:rPr>
              <w:instrText xml:space="preserve"> PAGEREF _Toc152330770 \h </w:instrText>
            </w:r>
            <w:r w:rsidR="0019792E">
              <w:rPr>
                <w:noProof/>
                <w:webHidden/>
              </w:rPr>
            </w:r>
            <w:r w:rsidR="0019792E">
              <w:rPr>
                <w:noProof/>
                <w:webHidden/>
              </w:rPr>
              <w:fldChar w:fldCharType="separate"/>
            </w:r>
            <w:r w:rsidR="0019792E">
              <w:rPr>
                <w:noProof/>
                <w:webHidden/>
              </w:rPr>
              <w:t>3</w:t>
            </w:r>
            <w:r w:rsidR="0019792E">
              <w:rPr>
                <w:noProof/>
                <w:webHidden/>
              </w:rPr>
              <w:fldChar w:fldCharType="end"/>
            </w:r>
          </w:hyperlink>
        </w:p>
        <w:p w14:paraId="7446A82A" w14:textId="75A3242E" w:rsidR="0019792E" w:rsidRDefault="00036F3F">
          <w:pPr>
            <w:pStyle w:val="Innehll3"/>
            <w:tabs>
              <w:tab w:val="right" w:leader="dot" w:pos="9016"/>
            </w:tabs>
            <w:rPr>
              <w:rFonts w:eastAsiaTheme="minorEastAsia" w:cstheme="minorBidi"/>
              <w:noProof/>
              <w:kern w:val="2"/>
              <w:sz w:val="24"/>
              <w:szCs w:val="24"/>
              <w:lang w:eastAsia="sv-SE"/>
              <w14:ligatures w14:val="standardContextual"/>
            </w:rPr>
          </w:pPr>
          <w:hyperlink w:anchor="_Toc152330771" w:history="1">
            <w:r w:rsidR="0019792E" w:rsidRPr="00554FEB">
              <w:rPr>
                <w:rStyle w:val="Hyperlnk"/>
                <w:noProof/>
                <w:lang w:val="en-US"/>
              </w:rPr>
              <w:t>Figure SI 1. Histogram of residuals of SOC samples. This figure displays the histogram of residuals from the linear regression model, overlaid with a kernel density estimate to illustrate the distribution's shape</w:t>
            </w:r>
            <w:r w:rsidR="0019792E">
              <w:rPr>
                <w:noProof/>
                <w:webHidden/>
              </w:rPr>
              <w:tab/>
            </w:r>
            <w:r w:rsidR="0019792E">
              <w:rPr>
                <w:noProof/>
                <w:webHidden/>
              </w:rPr>
              <w:fldChar w:fldCharType="begin"/>
            </w:r>
            <w:r w:rsidR="0019792E">
              <w:rPr>
                <w:noProof/>
                <w:webHidden/>
              </w:rPr>
              <w:instrText xml:space="preserve"> PAGEREF _Toc152330771 \h </w:instrText>
            </w:r>
            <w:r w:rsidR="0019792E">
              <w:rPr>
                <w:noProof/>
                <w:webHidden/>
              </w:rPr>
            </w:r>
            <w:r w:rsidR="0019792E">
              <w:rPr>
                <w:noProof/>
                <w:webHidden/>
              </w:rPr>
              <w:fldChar w:fldCharType="separate"/>
            </w:r>
            <w:r w:rsidR="0019792E">
              <w:rPr>
                <w:noProof/>
                <w:webHidden/>
              </w:rPr>
              <w:t>3</w:t>
            </w:r>
            <w:r w:rsidR="0019792E">
              <w:rPr>
                <w:noProof/>
                <w:webHidden/>
              </w:rPr>
              <w:fldChar w:fldCharType="end"/>
            </w:r>
          </w:hyperlink>
        </w:p>
        <w:p w14:paraId="55AE54F5" w14:textId="7864CF6C" w:rsidR="0019792E" w:rsidRDefault="00036F3F">
          <w:pPr>
            <w:pStyle w:val="Innehll3"/>
            <w:tabs>
              <w:tab w:val="right" w:leader="dot" w:pos="9016"/>
            </w:tabs>
            <w:rPr>
              <w:rFonts w:eastAsiaTheme="minorEastAsia" w:cstheme="minorBidi"/>
              <w:noProof/>
              <w:kern w:val="2"/>
              <w:sz w:val="24"/>
              <w:szCs w:val="24"/>
              <w:lang w:eastAsia="sv-SE"/>
              <w14:ligatures w14:val="standardContextual"/>
            </w:rPr>
          </w:pPr>
          <w:hyperlink w:anchor="_Toc152330772" w:history="1">
            <w:r w:rsidR="0019792E" w:rsidRPr="00554FEB">
              <w:rPr>
                <w:rStyle w:val="Hyperlnk"/>
                <w:noProof/>
                <w:lang w:val="en-US"/>
              </w:rPr>
              <w:t>Figure SI 2. Quantile-Quantile (Q-Q) plot of Residuals of SOC samples. The QQ plot of the residuals against a theoretical normal distribution, with the 45-degree reference line indicating perfect normality.</w:t>
            </w:r>
            <w:r w:rsidR="0019792E">
              <w:rPr>
                <w:noProof/>
                <w:webHidden/>
              </w:rPr>
              <w:tab/>
            </w:r>
            <w:r w:rsidR="0019792E">
              <w:rPr>
                <w:noProof/>
                <w:webHidden/>
              </w:rPr>
              <w:fldChar w:fldCharType="begin"/>
            </w:r>
            <w:r w:rsidR="0019792E">
              <w:rPr>
                <w:noProof/>
                <w:webHidden/>
              </w:rPr>
              <w:instrText xml:space="preserve"> PAGEREF _Toc152330772 \h </w:instrText>
            </w:r>
            <w:r w:rsidR="0019792E">
              <w:rPr>
                <w:noProof/>
                <w:webHidden/>
              </w:rPr>
            </w:r>
            <w:r w:rsidR="0019792E">
              <w:rPr>
                <w:noProof/>
                <w:webHidden/>
              </w:rPr>
              <w:fldChar w:fldCharType="separate"/>
            </w:r>
            <w:r w:rsidR="0019792E">
              <w:rPr>
                <w:noProof/>
                <w:webHidden/>
              </w:rPr>
              <w:t>4</w:t>
            </w:r>
            <w:r w:rsidR="0019792E">
              <w:rPr>
                <w:noProof/>
                <w:webHidden/>
              </w:rPr>
              <w:fldChar w:fldCharType="end"/>
            </w:r>
          </w:hyperlink>
        </w:p>
        <w:p w14:paraId="1BFE2508" w14:textId="39BC9E80" w:rsidR="0019792E" w:rsidRDefault="00036F3F">
          <w:pPr>
            <w:pStyle w:val="Innehll1"/>
            <w:tabs>
              <w:tab w:val="right" w:leader="dot" w:pos="9016"/>
            </w:tabs>
            <w:rPr>
              <w:rFonts w:eastAsiaTheme="minorEastAsia" w:cstheme="minorBidi"/>
              <w:b w:val="0"/>
              <w:bCs w:val="0"/>
              <w:noProof/>
              <w:kern w:val="2"/>
              <w:sz w:val="24"/>
              <w:szCs w:val="24"/>
              <w:lang w:eastAsia="sv-SE"/>
              <w14:ligatures w14:val="standardContextual"/>
            </w:rPr>
          </w:pPr>
          <w:hyperlink w:anchor="_Toc152330773" w:history="1">
            <w:r w:rsidR="0019792E" w:rsidRPr="00554FEB">
              <w:rPr>
                <w:rStyle w:val="Hyperlnk"/>
                <w:rFonts w:cs="Times New Roman"/>
                <w:noProof/>
                <w:lang w:val="en-US"/>
              </w:rPr>
              <w:t>SI – 3. Region-specific information about SOC/clay ratio and soil texture</w:t>
            </w:r>
            <w:r w:rsidR="0019792E">
              <w:rPr>
                <w:noProof/>
                <w:webHidden/>
              </w:rPr>
              <w:tab/>
            </w:r>
            <w:r w:rsidR="0019792E">
              <w:rPr>
                <w:noProof/>
                <w:webHidden/>
              </w:rPr>
              <w:fldChar w:fldCharType="begin"/>
            </w:r>
            <w:r w:rsidR="0019792E">
              <w:rPr>
                <w:noProof/>
                <w:webHidden/>
              </w:rPr>
              <w:instrText xml:space="preserve"> PAGEREF _Toc152330773 \h </w:instrText>
            </w:r>
            <w:r w:rsidR="0019792E">
              <w:rPr>
                <w:noProof/>
                <w:webHidden/>
              </w:rPr>
            </w:r>
            <w:r w:rsidR="0019792E">
              <w:rPr>
                <w:noProof/>
                <w:webHidden/>
              </w:rPr>
              <w:fldChar w:fldCharType="separate"/>
            </w:r>
            <w:r w:rsidR="0019792E">
              <w:rPr>
                <w:noProof/>
                <w:webHidden/>
              </w:rPr>
              <w:t>5</w:t>
            </w:r>
            <w:r w:rsidR="0019792E">
              <w:rPr>
                <w:noProof/>
                <w:webHidden/>
              </w:rPr>
              <w:fldChar w:fldCharType="end"/>
            </w:r>
          </w:hyperlink>
        </w:p>
        <w:p w14:paraId="7FDF5834" w14:textId="2B1EDC37" w:rsidR="0019792E" w:rsidRDefault="00036F3F">
          <w:pPr>
            <w:pStyle w:val="Innehll3"/>
            <w:tabs>
              <w:tab w:val="right" w:leader="dot" w:pos="9016"/>
            </w:tabs>
            <w:rPr>
              <w:rFonts w:eastAsiaTheme="minorEastAsia" w:cstheme="minorBidi"/>
              <w:noProof/>
              <w:kern w:val="2"/>
              <w:sz w:val="24"/>
              <w:szCs w:val="24"/>
              <w:lang w:eastAsia="sv-SE"/>
              <w14:ligatures w14:val="standardContextual"/>
            </w:rPr>
          </w:pPr>
          <w:hyperlink w:anchor="_Toc152330774" w:history="1">
            <w:r w:rsidR="0019792E" w:rsidRPr="00554FEB">
              <w:rPr>
                <w:rStyle w:val="Hyperlnk"/>
                <w:noProof/>
                <w:lang w:val="en-US"/>
              </w:rPr>
              <w:t>Table SI 5.  Average clay content and carbon value for each production region, subcategorized into soil structure quality classes.</w:t>
            </w:r>
            <w:r w:rsidR="0019792E">
              <w:rPr>
                <w:noProof/>
                <w:webHidden/>
              </w:rPr>
              <w:tab/>
            </w:r>
            <w:r w:rsidR="0019792E">
              <w:rPr>
                <w:noProof/>
                <w:webHidden/>
              </w:rPr>
              <w:fldChar w:fldCharType="begin"/>
            </w:r>
            <w:r w:rsidR="0019792E">
              <w:rPr>
                <w:noProof/>
                <w:webHidden/>
              </w:rPr>
              <w:instrText xml:space="preserve"> PAGEREF _Toc152330774 \h </w:instrText>
            </w:r>
            <w:r w:rsidR="0019792E">
              <w:rPr>
                <w:noProof/>
                <w:webHidden/>
              </w:rPr>
            </w:r>
            <w:r w:rsidR="0019792E">
              <w:rPr>
                <w:noProof/>
                <w:webHidden/>
              </w:rPr>
              <w:fldChar w:fldCharType="separate"/>
            </w:r>
            <w:r w:rsidR="0019792E">
              <w:rPr>
                <w:noProof/>
                <w:webHidden/>
              </w:rPr>
              <w:t>5</w:t>
            </w:r>
            <w:r w:rsidR="0019792E">
              <w:rPr>
                <w:noProof/>
                <w:webHidden/>
              </w:rPr>
              <w:fldChar w:fldCharType="end"/>
            </w:r>
          </w:hyperlink>
        </w:p>
        <w:p w14:paraId="3647BADA" w14:textId="5341B3DD" w:rsidR="0019792E" w:rsidRDefault="00036F3F">
          <w:pPr>
            <w:pStyle w:val="Innehll3"/>
            <w:tabs>
              <w:tab w:val="right" w:leader="dot" w:pos="9016"/>
            </w:tabs>
            <w:rPr>
              <w:rFonts w:eastAsiaTheme="minorEastAsia" w:cstheme="minorBidi"/>
              <w:noProof/>
              <w:kern w:val="2"/>
              <w:sz w:val="24"/>
              <w:szCs w:val="24"/>
              <w:lang w:eastAsia="sv-SE"/>
              <w14:ligatures w14:val="standardContextual"/>
            </w:rPr>
          </w:pPr>
          <w:hyperlink w:anchor="_Toc152330775" w:history="1">
            <w:r w:rsidR="0019792E" w:rsidRPr="00554FEB">
              <w:rPr>
                <w:rStyle w:val="Hyperlnk"/>
                <w:noProof/>
                <w:lang w:val="en-US"/>
              </w:rPr>
              <w:t>Table SI 6.  Significance of changes in SOC between S1 and S2 based on Wilcoxon non-parametrical test (95% confidence interval) for the eight production regions (P08) and the Ley Frequency groups. Bold values = statistically significant (p&lt;0.05).</w:t>
            </w:r>
            <w:r w:rsidR="0019792E">
              <w:rPr>
                <w:noProof/>
                <w:webHidden/>
              </w:rPr>
              <w:tab/>
            </w:r>
            <w:r w:rsidR="0019792E">
              <w:rPr>
                <w:noProof/>
                <w:webHidden/>
              </w:rPr>
              <w:fldChar w:fldCharType="begin"/>
            </w:r>
            <w:r w:rsidR="0019792E">
              <w:rPr>
                <w:noProof/>
                <w:webHidden/>
              </w:rPr>
              <w:instrText xml:space="preserve"> PAGEREF _Toc152330775 \h </w:instrText>
            </w:r>
            <w:r w:rsidR="0019792E">
              <w:rPr>
                <w:noProof/>
                <w:webHidden/>
              </w:rPr>
            </w:r>
            <w:r w:rsidR="0019792E">
              <w:rPr>
                <w:noProof/>
                <w:webHidden/>
              </w:rPr>
              <w:fldChar w:fldCharType="separate"/>
            </w:r>
            <w:r w:rsidR="0019792E">
              <w:rPr>
                <w:noProof/>
                <w:webHidden/>
              </w:rPr>
              <w:t>6</w:t>
            </w:r>
            <w:r w:rsidR="0019792E">
              <w:rPr>
                <w:noProof/>
                <w:webHidden/>
              </w:rPr>
              <w:fldChar w:fldCharType="end"/>
            </w:r>
          </w:hyperlink>
        </w:p>
        <w:p w14:paraId="78D80FB0" w14:textId="22E9B981" w:rsidR="0019792E" w:rsidRDefault="00036F3F">
          <w:pPr>
            <w:pStyle w:val="Innehll1"/>
            <w:tabs>
              <w:tab w:val="right" w:leader="dot" w:pos="9016"/>
            </w:tabs>
            <w:rPr>
              <w:rFonts w:eastAsiaTheme="minorEastAsia" w:cstheme="minorBidi"/>
              <w:b w:val="0"/>
              <w:bCs w:val="0"/>
              <w:noProof/>
              <w:kern w:val="2"/>
              <w:sz w:val="24"/>
              <w:szCs w:val="24"/>
              <w:lang w:eastAsia="sv-SE"/>
              <w14:ligatures w14:val="standardContextual"/>
            </w:rPr>
          </w:pPr>
          <w:hyperlink w:anchor="_Toc152330776" w:history="1">
            <w:r w:rsidR="0019792E" w:rsidRPr="00554FEB">
              <w:rPr>
                <w:rStyle w:val="Hyperlnk"/>
                <w:rFonts w:cs="Times New Roman"/>
                <w:noProof/>
                <w:lang w:val="en-US"/>
              </w:rPr>
              <w:t>Supplementary figures</w:t>
            </w:r>
            <w:r w:rsidR="0019792E">
              <w:rPr>
                <w:noProof/>
                <w:webHidden/>
              </w:rPr>
              <w:tab/>
            </w:r>
            <w:r w:rsidR="0019792E">
              <w:rPr>
                <w:noProof/>
                <w:webHidden/>
              </w:rPr>
              <w:fldChar w:fldCharType="begin"/>
            </w:r>
            <w:r w:rsidR="0019792E">
              <w:rPr>
                <w:noProof/>
                <w:webHidden/>
              </w:rPr>
              <w:instrText xml:space="preserve"> PAGEREF _Toc152330776 \h </w:instrText>
            </w:r>
            <w:r w:rsidR="0019792E">
              <w:rPr>
                <w:noProof/>
                <w:webHidden/>
              </w:rPr>
            </w:r>
            <w:r w:rsidR="0019792E">
              <w:rPr>
                <w:noProof/>
                <w:webHidden/>
              </w:rPr>
              <w:fldChar w:fldCharType="separate"/>
            </w:r>
            <w:r w:rsidR="0019792E">
              <w:rPr>
                <w:noProof/>
                <w:webHidden/>
              </w:rPr>
              <w:t>6</w:t>
            </w:r>
            <w:r w:rsidR="0019792E">
              <w:rPr>
                <w:noProof/>
                <w:webHidden/>
              </w:rPr>
              <w:fldChar w:fldCharType="end"/>
            </w:r>
          </w:hyperlink>
        </w:p>
        <w:p w14:paraId="13DED29E" w14:textId="1D8502B7" w:rsidR="0019792E" w:rsidRDefault="00036F3F">
          <w:pPr>
            <w:pStyle w:val="Innehll1"/>
            <w:tabs>
              <w:tab w:val="right" w:leader="dot" w:pos="9016"/>
            </w:tabs>
            <w:rPr>
              <w:rFonts w:eastAsiaTheme="minorEastAsia" w:cstheme="minorBidi"/>
              <w:b w:val="0"/>
              <w:bCs w:val="0"/>
              <w:noProof/>
              <w:kern w:val="2"/>
              <w:sz w:val="24"/>
              <w:szCs w:val="24"/>
              <w:lang w:eastAsia="sv-SE"/>
              <w14:ligatures w14:val="standardContextual"/>
            </w:rPr>
          </w:pPr>
          <w:hyperlink w:anchor="_Toc152330777" w:history="1">
            <w:r w:rsidR="0019792E" w:rsidRPr="00554FEB">
              <w:rPr>
                <w:rStyle w:val="Hyperlnk"/>
                <w:rFonts w:cs="Times New Roman"/>
                <w:noProof/>
                <w:lang w:val="en-US"/>
              </w:rPr>
              <w:t>SI – 4. Historical land use for P08 4 and 5</w:t>
            </w:r>
            <w:r w:rsidR="0019792E">
              <w:rPr>
                <w:noProof/>
                <w:webHidden/>
              </w:rPr>
              <w:tab/>
            </w:r>
            <w:r w:rsidR="0019792E">
              <w:rPr>
                <w:noProof/>
                <w:webHidden/>
              </w:rPr>
              <w:fldChar w:fldCharType="begin"/>
            </w:r>
            <w:r w:rsidR="0019792E">
              <w:rPr>
                <w:noProof/>
                <w:webHidden/>
              </w:rPr>
              <w:instrText xml:space="preserve"> PAGEREF _Toc152330777 \h </w:instrText>
            </w:r>
            <w:r w:rsidR="0019792E">
              <w:rPr>
                <w:noProof/>
                <w:webHidden/>
              </w:rPr>
            </w:r>
            <w:r w:rsidR="0019792E">
              <w:rPr>
                <w:noProof/>
                <w:webHidden/>
              </w:rPr>
              <w:fldChar w:fldCharType="separate"/>
            </w:r>
            <w:r w:rsidR="0019792E">
              <w:rPr>
                <w:noProof/>
                <w:webHidden/>
              </w:rPr>
              <w:t>6</w:t>
            </w:r>
            <w:r w:rsidR="0019792E">
              <w:rPr>
                <w:noProof/>
                <w:webHidden/>
              </w:rPr>
              <w:fldChar w:fldCharType="end"/>
            </w:r>
          </w:hyperlink>
        </w:p>
        <w:p w14:paraId="6642BEA7" w14:textId="1BB44149" w:rsidR="0019792E" w:rsidRDefault="00036F3F">
          <w:pPr>
            <w:pStyle w:val="Innehll3"/>
            <w:tabs>
              <w:tab w:val="right" w:leader="dot" w:pos="9016"/>
            </w:tabs>
            <w:rPr>
              <w:rFonts w:eastAsiaTheme="minorEastAsia" w:cstheme="minorBidi"/>
              <w:noProof/>
              <w:kern w:val="2"/>
              <w:sz w:val="24"/>
              <w:szCs w:val="24"/>
              <w:lang w:eastAsia="sv-SE"/>
              <w14:ligatures w14:val="standardContextual"/>
            </w:rPr>
          </w:pPr>
          <w:hyperlink w:anchor="_Toc152330778" w:history="1">
            <w:r w:rsidR="0019792E" w:rsidRPr="00554FEB">
              <w:rPr>
                <w:rStyle w:val="Hyperlnk"/>
                <w:noProof/>
                <w:lang w:val="en-US"/>
              </w:rPr>
              <w:t>Figure SI 3. Historical land use of two production regions - P04 and P05. Relative values of Perennial ley and Cereal production in the regions over time - 1960 to 2021.</w:t>
            </w:r>
            <w:r w:rsidR="0019792E">
              <w:rPr>
                <w:noProof/>
                <w:webHidden/>
              </w:rPr>
              <w:tab/>
            </w:r>
            <w:r w:rsidR="0019792E">
              <w:rPr>
                <w:noProof/>
                <w:webHidden/>
              </w:rPr>
              <w:fldChar w:fldCharType="begin"/>
            </w:r>
            <w:r w:rsidR="0019792E">
              <w:rPr>
                <w:noProof/>
                <w:webHidden/>
              </w:rPr>
              <w:instrText xml:space="preserve"> PAGEREF _Toc152330778 \h </w:instrText>
            </w:r>
            <w:r w:rsidR="0019792E">
              <w:rPr>
                <w:noProof/>
                <w:webHidden/>
              </w:rPr>
            </w:r>
            <w:r w:rsidR="0019792E">
              <w:rPr>
                <w:noProof/>
                <w:webHidden/>
              </w:rPr>
              <w:fldChar w:fldCharType="separate"/>
            </w:r>
            <w:r w:rsidR="0019792E">
              <w:rPr>
                <w:noProof/>
                <w:webHidden/>
              </w:rPr>
              <w:t>6</w:t>
            </w:r>
            <w:r w:rsidR="0019792E">
              <w:rPr>
                <w:noProof/>
                <w:webHidden/>
              </w:rPr>
              <w:fldChar w:fldCharType="end"/>
            </w:r>
          </w:hyperlink>
        </w:p>
        <w:p w14:paraId="299902E8" w14:textId="6D54FD6E" w:rsidR="0019792E" w:rsidRDefault="00036F3F">
          <w:pPr>
            <w:pStyle w:val="Innehll1"/>
            <w:tabs>
              <w:tab w:val="right" w:leader="dot" w:pos="9016"/>
            </w:tabs>
            <w:rPr>
              <w:rFonts w:eastAsiaTheme="minorEastAsia" w:cstheme="minorBidi"/>
              <w:b w:val="0"/>
              <w:bCs w:val="0"/>
              <w:noProof/>
              <w:kern w:val="2"/>
              <w:sz w:val="24"/>
              <w:szCs w:val="24"/>
              <w:lang w:eastAsia="sv-SE"/>
              <w14:ligatures w14:val="standardContextual"/>
            </w:rPr>
          </w:pPr>
          <w:hyperlink w:anchor="_Toc152330779" w:history="1">
            <w:r w:rsidR="0019792E" w:rsidRPr="00554FEB">
              <w:rPr>
                <w:rStyle w:val="Hyperlnk"/>
                <w:rFonts w:cs="Times New Roman"/>
                <w:noProof/>
                <w:lang w:val="en-US"/>
              </w:rPr>
              <w:t>SI – 5. Changes in winter wheat cultivation and production</w:t>
            </w:r>
            <w:r w:rsidR="0019792E">
              <w:rPr>
                <w:noProof/>
                <w:webHidden/>
              </w:rPr>
              <w:tab/>
            </w:r>
            <w:r w:rsidR="0019792E">
              <w:rPr>
                <w:noProof/>
                <w:webHidden/>
              </w:rPr>
              <w:fldChar w:fldCharType="begin"/>
            </w:r>
            <w:r w:rsidR="0019792E">
              <w:rPr>
                <w:noProof/>
                <w:webHidden/>
              </w:rPr>
              <w:instrText xml:space="preserve"> PAGEREF _Toc152330779 \h </w:instrText>
            </w:r>
            <w:r w:rsidR="0019792E">
              <w:rPr>
                <w:noProof/>
                <w:webHidden/>
              </w:rPr>
            </w:r>
            <w:r w:rsidR="0019792E">
              <w:rPr>
                <w:noProof/>
                <w:webHidden/>
              </w:rPr>
              <w:fldChar w:fldCharType="separate"/>
            </w:r>
            <w:r w:rsidR="0019792E">
              <w:rPr>
                <w:noProof/>
                <w:webHidden/>
              </w:rPr>
              <w:t>7</w:t>
            </w:r>
            <w:r w:rsidR="0019792E">
              <w:rPr>
                <w:noProof/>
                <w:webHidden/>
              </w:rPr>
              <w:fldChar w:fldCharType="end"/>
            </w:r>
          </w:hyperlink>
        </w:p>
        <w:p w14:paraId="6E1149E2" w14:textId="1EBDB936" w:rsidR="0019792E" w:rsidRDefault="00036F3F">
          <w:pPr>
            <w:pStyle w:val="Innehll3"/>
            <w:tabs>
              <w:tab w:val="right" w:leader="dot" w:pos="9016"/>
            </w:tabs>
            <w:rPr>
              <w:rFonts w:eastAsiaTheme="minorEastAsia" w:cstheme="minorBidi"/>
              <w:noProof/>
              <w:kern w:val="2"/>
              <w:sz w:val="24"/>
              <w:szCs w:val="24"/>
              <w:lang w:eastAsia="sv-SE"/>
              <w14:ligatures w14:val="standardContextual"/>
            </w:rPr>
          </w:pPr>
          <w:hyperlink w:anchor="_Toc152330780" w:history="1">
            <w:r w:rsidR="0019792E" w:rsidRPr="00554FEB">
              <w:rPr>
                <w:rStyle w:val="Hyperlnk"/>
                <w:noProof/>
                <w:lang w:val="en-US"/>
              </w:rPr>
              <w:t>Figure SI 4. Changes in winter wheat cultivation (hectares) between S1 (black) and S2 (grey)</w:t>
            </w:r>
            <w:r w:rsidR="0019792E">
              <w:rPr>
                <w:noProof/>
                <w:webHidden/>
              </w:rPr>
              <w:tab/>
            </w:r>
            <w:r w:rsidR="0019792E">
              <w:rPr>
                <w:noProof/>
                <w:webHidden/>
              </w:rPr>
              <w:fldChar w:fldCharType="begin"/>
            </w:r>
            <w:r w:rsidR="0019792E">
              <w:rPr>
                <w:noProof/>
                <w:webHidden/>
              </w:rPr>
              <w:instrText xml:space="preserve"> PAGEREF _Toc152330780 \h </w:instrText>
            </w:r>
            <w:r w:rsidR="0019792E">
              <w:rPr>
                <w:noProof/>
                <w:webHidden/>
              </w:rPr>
            </w:r>
            <w:r w:rsidR="0019792E">
              <w:rPr>
                <w:noProof/>
                <w:webHidden/>
              </w:rPr>
              <w:fldChar w:fldCharType="separate"/>
            </w:r>
            <w:r w:rsidR="0019792E">
              <w:rPr>
                <w:noProof/>
                <w:webHidden/>
              </w:rPr>
              <w:t>7</w:t>
            </w:r>
            <w:r w:rsidR="0019792E">
              <w:rPr>
                <w:noProof/>
                <w:webHidden/>
              </w:rPr>
              <w:fldChar w:fldCharType="end"/>
            </w:r>
          </w:hyperlink>
        </w:p>
        <w:p w14:paraId="284C4782" w14:textId="4CACB159" w:rsidR="0019792E" w:rsidRDefault="00036F3F">
          <w:pPr>
            <w:pStyle w:val="Innehll3"/>
            <w:tabs>
              <w:tab w:val="right" w:leader="dot" w:pos="9016"/>
            </w:tabs>
            <w:rPr>
              <w:rFonts w:eastAsiaTheme="minorEastAsia" w:cstheme="minorBidi"/>
              <w:noProof/>
              <w:kern w:val="2"/>
              <w:sz w:val="24"/>
              <w:szCs w:val="24"/>
              <w:lang w:eastAsia="sv-SE"/>
              <w14:ligatures w14:val="standardContextual"/>
            </w:rPr>
          </w:pPr>
          <w:hyperlink w:anchor="_Toc152330781" w:history="1">
            <w:r w:rsidR="0019792E" w:rsidRPr="00554FEB">
              <w:rPr>
                <w:rStyle w:val="Hyperlnk"/>
                <w:noProof/>
                <w:lang w:val="en-US"/>
              </w:rPr>
              <w:t>Figure SI 5 Changes in winter wheat yields (hectares) between S1 (black) and S2 (grey)</w:t>
            </w:r>
            <w:r w:rsidR="0019792E">
              <w:rPr>
                <w:noProof/>
                <w:webHidden/>
              </w:rPr>
              <w:tab/>
            </w:r>
            <w:r w:rsidR="0019792E">
              <w:rPr>
                <w:noProof/>
                <w:webHidden/>
              </w:rPr>
              <w:fldChar w:fldCharType="begin"/>
            </w:r>
            <w:r w:rsidR="0019792E">
              <w:rPr>
                <w:noProof/>
                <w:webHidden/>
              </w:rPr>
              <w:instrText xml:space="preserve"> PAGEREF _Toc152330781 \h </w:instrText>
            </w:r>
            <w:r w:rsidR="0019792E">
              <w:rPr>
                <w:noProof/>
                <w:webHidden/>
              </w:rPr>
            </w:r>
            <w:r w:rsidR="0019792E">
              <w:rPr>
                <w:noProof/>
                <w:webHidden/>
              </w:rPr>
              <w:fldChar w:fldCharType="separate"/>
            </w:r>
            <w:r w:rsidR="0019792E">
              <w:rPr>
                <w:noProof/>
                <w:webHidden/>
              </w:rPr>
              <w:t>7</w:t>
            </w:r>
            <w:r w:rsidR="0019792E">
              <w:rPr>
                <w:noProof/>
                <w:webHidden/>
              </w:rPr>
              <w:fldChar w:fldCharType="end"/>
            </w:r>
          </w:hyperlink>
        </w:p>
        <w:p w14:paraId="116008FE" w14:textId="00E7DAEF" w:rsidR="0019792E" w:rsidRDefault="00036F3F">
          <w:pPr>
            <w:pStyle w:val="Innehll1"/>
            <w:tabs>
              <w:tab w:val="right" w:leader="dot" w:pos="9016"/>
            </w:tabs>
            <w:rPr>
              <w:rFonts w:eastAsiaTheme="minorEastAsia" w:cstheme="minorBidi"/>
              <w:b w:val="0"/>
              <w:bCs w:val="0"/>
              <w:noProof/>
              <w:kern w:val="2"/>
              <w:sz w:val="24"/>
              <w:szCs w:val="24"/>
              <w:lang w:eastAsia="sv-SE"/>
              <w14:ligatures w14:val="standardContextual"/>
            </w:rPr>
          </w:pPr>
          <w:hyperlink w:anchor="_Toc152330782" w:history="1">
            <w:r w:rsidR="0019792E" w:rsidRPr="00554FEB">
              <w:rPr>
                <w:rStyle w:val="Hyperlnk"/>
                <w:rFonts w:cs="Times New Roman"/>
                <w:noProof/>
                <w:lang w:val="en-US"/>
              </w:rPr>
              <w:t>SI – 6. Code availability for statistics</w:t>
            </w:r>
            <w:r w:rsidR="0019792E">
              <w:rPr>
                <w:noProof/>
                <w:webHidden/>
              </w:rPr>
              <w:tab/>
            </w:r>
            <w:r w:rsidR="0019792E">
              <w:rPr>
                <w:noProof/>
                <w:webHidden/>
              </w:rPr>
              <w:fldChar w:fldCharType="begin"/>
            </w:r>
            <w:r w:rsidR="0019792E">
              <w:rPr>
                <w:noProof/>
                <w:webHidden/>
              </w:rPr>
              <w:instrText xml:space="preserve"> PAGEREF _Toc152330782 \h </w:instrText>
            </w:r>
            <w:r w:rsidR="0019792E">
              <w:rPr>
                <w:noProof/>
                <w:webHidden/>
              </w:rPr>
            </w:r>
            <w:r w:rsidR="0019792E">
              <w:rPr>
                <w:noProof/>
                <w:webHidden/>
              </w:rPr>
              <w:fldChar w:fldCharType="separate"/>
            </w:r>
            <w:r w:rsidR="0019792E">
              <w:rPr>
                <w:noProof/>
                <w:webHidden/>
              </w:rPr>
              <w:t>8</w:t>
            </w:r>
            <w:r w:rsidR="0019792E">
              <w:rPr>
                <w:noProof/>
                <w:webHidden/>
              </w:rPr>
              <w:fldChar w:fldCharType="end"/>
            </w:r>
          </w:hyperlink>
        </w:p>
        <w:p w14:paraId="1280A7E7" w14:textId="2C45A5AE" w:rsidR="00022ADC" w:rsidRPr="00526B91" w:rsidRDefault="00022ADC" w:rsidP="00022ADC">
          <w:pPr>
            <w:rPr>
              <w:b/>
              <w:bCs/>
            </w:rPr>
          </w:pPr>
          <w:r w:rsidRPr="00EB2BF3">
            <w:rPr>
              <w:b/>
              <w:bCs/>
              <w:sz w:val="21"/>
              <w:szCs w:val="21"/>
            </w:rPr>
            <w:fldChar w:fldCharType="end"/>
          </w:r>
        </w:p>
      </w:sdtContent>
    </w:sdt>
    <w:p w14:paraId="6CB5FAE5" w14:textId="77777777" w:rsidR="00022ADC" w:rsidRDefault="00022ADC" w:rsidP="00022ADC">
      <w:pPr>
        <w:pStyle w:val="Rubrik1"/>
        <w:rPr>
          <w:rFonts w:cs="Times New Roman"/>
          <w:lang w:val="en-US"/>
        </w:rPr>
      </w:pPr>
      <w:bookmarkStart w:id="0" w:name="_Toc152330765"/>
      <w:r>
        <w:rPr>
          <w:rFonts w:cs="Times New Roman"/>
          <w:lang w:val="en-US"/>
        </w:rPr>
        <w:lastRenderedPageBreak/>
        <w:t>Supplementary tables</w:t>
      </w:r>
      <w:bookmarkEnd w:id="0"/>
    </w:p>
    <w:p w14:paraId="1C6702F4" w14:textId="77777777" w:rsidR="00022ADC" w:rsidRDefault="00022ADC" w:rsidP="00022ADC">
      <w:pPr>
        <w:pStyle w:val="Rubrik1"/>
        <w:rPr>
          <w:rFonts w:cs="Times New Roman"/>
          <w:lang w:val="en-US"/>
        </w:rPr>
      </w:pPr>
      <w:bookmarkStart w:id="1" w:name="_Toc152330766"/>
      <w:r>
        <w:rPr>
          <w:rFonts w:cs="Times New Roman"/>
          <w:lang w:val="en-US"/>
        </w:rPr>
        <w:t>SI – 1. SOC stock estimations based on linear models of bulk density</w:t>
      </w:r>
      <w:bookmarkEnd w:id="1"/>
    </w:p>
    <w:p w14:paraId="36E90383" w14:textId="77777777" w:rsidR="00022ADC" w:rsidRDefault="00022ADC" w:rsidP="00022ADC">
      <w:pPr>
        <w:pStyle w:val="Brdtext"/>
        <w:rPr>
          <w:lang w:val="en-US"/>
        </w:rPr>
      </w:pPr>
    </w:p>
    <w:p w14:paraId="24388D43" w14:textId="77777777" w:rsidR="00022ADC" w:rsidRDefault="00022ADC" w:rsidP="00CE3663">
      <w:pPr>
        <w:pStyle w:val="Rubrik3"/>
        <w:rPr>
          <w:lang w:val="en-US"/>
        </w:rPr>
      </w:pPr>
    </w:p>
    <w:p w14:paraId="2890008F" w14:textId="77777777" w:rsidR="00022ADC" w:rsidRDefault="00022ADC" w:rsidP="00CE3663">
      <w:pPr>
        <w:pStyle w:val="Rubrik3"/>
        <w:rPr>
          <w:lang w:val="en-US"/>
        </w:rPr>
      </w:pPr>
      <w:bookmarkStart w:id="2" w:name="_Toc147493687"/>
      <w:bookmarkStart w:id="3" w:name="_Toc152330767"/>
      <w:r>
        <w:rPr>
          <w:lang w:val="en-US"/>
        </w:rPr>
        <w:t>Table SI 1. Results from the Gaussian Error Propagation analysis concerning uncertainties associated with SOC stock estimations using the two bulk density equations for S1 and S2 samples, respectively.</w:t>
      </w:r>
      <w:bookmarkEnd w:id="2"/>
      <w:bookmarkEnd w:id="3"/>
    </w:p>
    <w:p w14:paraId="377230C9" w14:textId="77777777" w:rsidR="00022ADC" w:rsidRDefault="00022ADC" w:rsidP="00022ADC">
      <w:pPr>
        <w:keepNext/>
        <w:keepLines/>
        <w:spacing w:before="40" w:after="0"/>
        <w:rPr>
          <w:rFonts w:cs="Times New Roman"/>
          <w:lang w:val="en-US"/>
        </w:rPr>
      </w:pPr>
    </w:p>
    <w:tbl>
      <w:tblPr>
        <w:tblW w:w="8882" w:type="dxa"/>
        <w:tblLayout w:type="fixed"/>
        <w:tblLook w:val="04A0" w:firstRow="1" w:lastRow="0" w:firstColumn="1" w:lastColumn="0" w:noHBand="0" w:noVBand="1"/>
      </w:tblPr>
      <w:tblGrid>
        <w:gridCol w:w="2438"/>
        <w:gridCol w:w="888"/>
        <w:gridCol w:w="1453"/>
        <w:gridCol w:w="2124"/>
        <w:gridCol w:w="1979"/>
      </w:tblGrid>
      <w:tr w:rsidR="00022ADC" w14:paraId="4DC050DB" w14:textId="77777777" w:rsidTr="00127924">
        <w:trPr>
          <w:trHeight w:val="251"/>
        </w:trPr>
        <w:tc>
          <w:tcPr>
            <w:tcW w:w="2438" w:type="dxa"/>
            <w:tcBorders>
              <w:bottom w:val="single" w:sz="4" w:space="0" w:color="000000"/>
            </w:tcBorders>
            <w:shd w:val="clear" w:color="auto" w:fill="auto"/>
            <w:vAlign w:val="bottom"/>
          </w:tcPr>
          <w:p w14:paraId="32C669C2" w14:textId="77777777" w:rsidR="00022ADC" w:rsidRDefault="00022ADC" w:rsidP="00127924">
            <w:pPr>
              <w:widowControl w:val="0"/>
              <w:spacing w:after="0" w:line="240" w:lineRule="auto"/>
              <w:jc w:val="both"/>
              <w:rPr>
                <w:rFonts w:ascii="Times New Roman" w:eastAsia="Times New Roman" w:hAnsi="Times New Roman" w:cs="Times New Roman"/>
                <w:color w:val="000000" w:themeColor="text1"/>
                <w:lang w:val="en-US"/>
              </w:rPr>
            </w:pPr>
          </w:p>
        </w:tc>
        <w:tc>
          <w:tcPr>
            <w:tcW w:w="888" w:type="dxa"/>
            <w:tcBorders>
              <w:bottom w:val="single" w:sz="4" w:space="0" w:color="000000"/>
            </w:tcBorders>
            <w:shd w:val="clear" w:color="auto" w:fill="auto"/>
            <w:vAlign w:val="bottom"/>
          </w:tcPr>
          <w:p w14:paraId="00D4100C" w14:textId="77777777" w:rsidR="00022ADC" w:rsidRDefault="00022ADC" w:rsidP="00127924">
            <w:pPr>
              <w:widowControl w:val="0"/>
              <w:spacing w:after="0" w:line="240" w:lineRule="auto"/>
              <w:jc w:val="both"/>
              <w:rPr>
                <w:rFonts w:ascii="Times New Roman" w:eastAsia="Times New Roman" w:hAnsi="Times New Roman" w:cs="Times New Roman"/>
                <w:color w:val="000000" w:themeColor="text1"/>
                <w:lang w:val="en-US"/>
              </w:rPr>
            </w:pPr>
          </w:p>
        </w:tc>
        <w:tc>
          <w:tcPr>
            <w:tcW w:w="1453" w:type="dxa"/>
            <w:tcBorders>
              <w:bottom w:val="single" w:sz="4" w:space="0" w:color="000000"/>
            </w:tcBorders>
            <w:shd w:val="clear" w:color="auto" w:fill="auto"/>
            <w:vAlign w:val="center"/>
          </w:tcPr>
          <w:p w14:paraId="6278444B"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Mean SOC % S1 and S2</w:t>
            </w:r>
          </w:p>
        </w:tc>
        <w:tc>
          <w:tcPr>
            <w:tcW w:w="2124" w:type="dxa"/>
            <w:tcBorders>
              <w:bottom w:val="single" w:sz="4" w:space="0" w:color="000000"/>
            </w:tcBorders>
            <w:shd w:val="clear" w:color="auto" w:fill="auto"/>
            <w:vAlign w:val="center"/>
          </w:tcPr>
          <w:p w14:paraId="3AE0EA55"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 xml:space="preserve">Mean Variance </w:t>
            </w:r>
          </w:p>
          <w:p w14:paraId="618A9233"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 xml:space="preserve">S1 and S2 </w:t>
            </w:r>
          </w:p>
        </w:tc>
        <w:tc>
          <w:tcPr>
            <w:tcW w:w="1979" w:type="dxa"/>
            <w:tcBorders>
              <w:bottom w:val="single" w:sz="4" w:space="0" w:color="000000"/>
            </w:tcBorders>
            <w:shd w:val="clear" w:color="auto" w:fill="auto"/>
            <w:vAlign w:val="center"/>
          </w:tcPr>
          <w:p w14:paraId="1C1787C5"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Standard deviation (std)</w:t>
            </w:r>
          </w:p>
        </w:tc>
      </w:tr>
      <w:tr w:rsidR="00022ADC" w14:paraId="3DBC61C6" w14:textId="77777777" w:rsidTr="00127924">
        <w:trPr>
          <w:trHeight w:val="251"/>
        </w:trPr>
        <w:tc>
          <w:tcPr>
            <w:tcW w:w="2438" w:type="dxa"/>
            <w:tcBorders>
              <w:top w:val="single" w:sz="4" w:space="0" w:color="000000"/>
            </w:tcBorders>
            <w:shd w:val="clear" w:color="auto" w:fill="auto"/>
            <w:vAlign w:val="bottom"/>
          </w:tcPr>
          <w:p w14:paraId="65EAB58D"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Equation 1</w:t>
            </w:r>
          </w:p>
        </w:tc>
        <w:tc>
          <w:tcPr>
            <w:tcW w:w="888" w:type="dxa"/>
            <w:tcBorders>
              <w:top w:val="single" w:sz="4" w:space="0" w:color="000000"/>
            </w:tcBorders>
            <w:shd w:val="clear" w:color="auto" w:fill="auto"/>
            <w:vAlign w:val="center"/>
          </w:tcPr>
          <w:p w14:paraId="7843D3D0"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S1</w:t>
            </w:r>
          </w:p>
        </w:tc>
        <w:tc>
          <w:tcPr>
            <w:tcW w:w="1453" w:type="dxa"/>
            <w:tcBorders>
              <w:top w:val="single" w:sz="4" w:space="0" w:color="000000"/>
            </w:tcBorders>
            <w:shd w:val="clear" w:color="auto" w:fill="auto"/>
            <w:vAlign w:val="center"/>
          </w:tcPr>
          <w:p w14:paraId="5D21BA7D"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2.57</w:t>
            </w:r>
          </w:p>
        </w:tc>
        <w:tc>
          <w:tcPr>
            <w:tcW w:w="2124" w:type="dxa"/>
            <w:tcBorders>
              <w:top w:val="single" w:sz="4" w:space="0" w:color="000000"/>
            </w:tcBorders>
            <w:shd w:val="clear" w:color="auto" w:fill="auto"/>
            <w:vAlign w:val="center"/>
          </w:tcPr>
          <w:p w14:paraId="71FC24D9"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1.15</w:t>
            </w:r>
          </w:p>
        </w:tc>
        <w:tc>
          <w:tcPr>
            <w:tcW w:w="1979" w:type="dxa"/>
            <w:tcBorders>
              <w:top w:val="single" w:sz="4" w:space="0" w:color="000000"/>
            </w:tcBorders>
            <w:shd w:val="clear" w:color="auto" w:fill="auto"/>
            <w:vAlign w:val="center"/>
          </w:tcPr>
          <w:p w14:paraId="711E980F"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19%</w:t>
            </w:r>
          </w:p>
        </w:tc>
      </w:tr>
      <w:tr w:rsidR="00022ADC" w14:paraId="7D891DC3" w14:textId="77777777" w:rsidTr="00127924">
        <w:trPr>
          <w:trHeight w:val="251"/>
        </w:trPr>
        <w:tc>
          <w:tcPr>
            <w:tcW w:w="2438" w:type="dxa"/>
            <w:shd w:val="clear" w:color="auto" w:fill="auto"/>
            <w:vAlign w:val="bottom"/>
          </w:tcPr>
          <w:p w14:paraId="7EFFB92D"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p>
        </w:tc>
        <w:tc>
          <w:tcPr>
            <w:tcW w:w="888" w:type="dxa"/>
            <w:shd w:val="clear" w:color="auto" w:fill="auto"/>
            <w:vAlign w:val="center"/>
          </w:tcPr>
          <w:p w14:paraId="336FE1CB"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S2</w:t>
            </w:r>
          </w:p>
        </w:tc>
        <w:tc>
          <w:tcPr>
            <w:tcW w:w="1453" w:type="dxa"/>
            <w:shd w:val="clear" w:color="auto" w:fill="auto"/>
            <w:vAlign w:val="center"/>
          </w:tcPr>
          <w:p w14:paraId="6635F8B1"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2.64</w:t>
            </w:r>
          </w:p>
        </w:tc>
        <w:tc>
          <w:tcPr>
            <w:tcW w:w="2124" w:type="dxa"/>
            <w:shd w:val="clear" w:color="auto" w:fill="auto"/>
            <w:vAlign w:val="center"/>
          </w:tcPr>
          <w:p w14:paraId="3F92973C"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1.04</w:t>
            </w:r>
          </w:p>
        </w:tc>
        <w:tc>
          <w:tcPr>
            <w:tcW w:w="1979" w:type="dxa"/>
            <w:shd w:val="clear" w:color="auto" w:fill="auto"/>
            <w:vAlign w:val="center"/>
          </w:tcPr>
          <w:p w14:paraId="75C0B914"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18%</w:t>
            </w:r>
          </w:p>
        </w:tc>
      </w:tr>
      <w:tr w:rsidR="00022ADC" w14:paraId="2446F07B" w14:textId="77777777" w:rsidTr="00127924">
        <w:trPr>
          <w:trHeight w:hRule="exact" w:val="251"/>
        </w:trPr>
        <w:tc>
          <w:tcPr>
            <w:tcW w:w="2438" w:type="dxa"/>
            <w:shd w:val="clear" w:color="auto" w:fill="auto"/>
            <w:vAlign w:val="bottom"/>
          </w:tcPr>
          <w:p w14:paraId="1047B874"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p>
        </w:tc>
        <w:tc>
          <w:tcPr>
            <w:tcW w:w="888" w:type="dxa"/>
            <w:shd w:val="clear" w:color="auto" w:fill="auto"/>
            <w:vAlign w:val="center"/>
          </w:tcPr>
          <w:p w14:paraId="2A7C024C"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p>
        </w:tc>
        <w:tc>
          <w:tcPr>
            <w:tcW w:w="1453" w:type="dxa"/>
            <w:shd w:val="clear" w:color="auto" w:fill="auto"/>
            <w:vAlign w:val="center"/>
          </w:tcPr>
          <w:p w14:paraId="7270F460"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p>
        </w:tc>
        <w:tc>
          <w:tcPr>
            <w:tcW w:w="2124" w:type="dxa"/>
            <w:shd w:val="clear" w:color="auto" w:fill="auto"/>
            <w:vAlign w:val="center"/>
          </w:tcPr>
          <w:p w14:paraId="725BEDC0"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p>
        </w:tc>
        <w:tc>
          <w:tcPr>
            <w:tcW w:w="1979" w:type="dxa"/>
            <w:shd w:val="clear" w:color="auto" w:fill="auto"/>
            <w:vAlign w:val="center"/>
          </w:tcPr>
          <w:p w14:paraId="4BBCC7B9"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p>
        </w:tc>
      </w:tr>
      <w:tr w:rsidR="00022ADC" w14:paraId="00C795B7" w14:textId="77777777" w:rsidTr="00127924">
        <w:trPr>
          <w:trHeight w:val="251"/>
        </w:trPr>
        <w:tc>
          <w:tcPr>
            <w:tcW w:w="2438" w:type="dxa"/>
            <w:shd w:val="clear" w:color="auto" w:fill="auto"/>
            <w:vAlign w:val="bottom"/>
          </w:tcPr>
          <w:p w14:paraId="50846437"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Equation 2</w:t>
            </w:r>
          </w:p>
        </w:tc>
        <w:tc>
          <w:tcPr>
            <w:tcW w:w="888" w:type="dxa"/>
            <w:shd w:val="clear" w:color="auto" w:fill="auto"/>
            <w:vAlign w:val="center"/>
          </w:tcPr>
          <w:p w14:paraId="02058167"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S1</w:t>
            </w:r>
          </w:p>
        </w:tc>
        <w:tc>
          <w:tcPr>
            <w:tcW w:w="1453" w:type="dxa"/>
            <w:shd w:val="clear" w:color="auto" w:fill="auto"/>
            <w:vAlign w:val="center"/>
          </w:tcPr>
          <w:p w14:paraId="284203B8"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2.57</w:t>
            </w:r>
          </w:p>
        </w:tc>
        <w:tc>
          <w:tcPr>
            <w:tcW w:w="2124" w:type="dxa"/>
            <w:shd w:val="clear" w:color="auto" w:fill="auto"/>
            <w:vAlign w:val="center"/>
          </w:tcPr>
          <w:p w14:paraId="07955F46"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1.15</w:t>
            </w:r>
          </w:p>
        </w:tc>
        <w:tc>
          <w:tcPr>
            <w:tcW w:w="1979" w:type="dxa"/>
            <w:shd w:val="clear" w:color="auto" w:fill="auto"/>
            <w:vAlign w:val="center"/>
          </w:tcPr>
          <w:p w14:paraId="0874B81B"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19%</w:t>
            </w:r>
          </w:p>
        </w:tc>
      </w:tr>
      <w:tr w:rsidR="00022ADC" w14:paraId="6F67CBD3" w14:textId="77777777" w:rsidTr="00127924">
        <w:trPr>
          <w:trHeight w:val="251"/>
        </w:trPr>
        <w:tc>
          <w:tcPr>
            <w:tcW w:w="2438" w:type="dxa"/>
            <w:tcBorders>
              <w:bottom w:val="single" w:sz="4" w:space="0" w:color="000000"/>
            </w:tcBorders>
            <w:shd w:val="clear" w:color="auto" w:fill="auto"/>
            <w:vAlign w:val="bottom"/>
          </w:tcPr>
          <w:p w14:paraId="03C73FE9"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p>
        </w:tc>
        <w:tc>
          <w:tcPr>
            <w:tcW w:w="888" w:type="dxa"/>
            <w:tcBorders>
              <w:bottom w:val="single" w:sz="4" w:space="0" w:color="000000"/>
            </w:tcBorders>
            <w:shd w:val="clear" w:color="auto" w:fill="auto"/>
            <w:vAlign w:val="center"/>
          </w:tcPr>
          <w:p w14:paraId="0DEB8A7E"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S2</w:t>
            </w:r>
          </w:p>
        </w:tc>
        <w:tc>
          <w:tcPr>
            <w:tcW w:w="1453" w:type="dxa"/>
            <w:tcBorders>
              <w:bottom w:val="single" w:sz="4" w:space="0" w:color="000000"/>
            </w:tcBorders>
            <w:shd w:val="clear" w:color="auto" w:fill="auto"/>
            <w:vAlign w:val="center"/>
          </w:tcPr>
          <w:p w14:paraId="202CAF44"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2.64</w:t>
            </w:r>
          </w:p>
        </w:tc>
        <w:tc>
          <w:tcPr>
            <w:tcW w:w="2124" w:type="dxa"/>
            <w:tcBorders>
              <w:bottom w:val="single" w:sz="4" w:space="0" w:color="000000"/>
            </w:tcBorders>
            <w:shd w:val="clear" w:color="auto" w:fill="auto"/>
            <w:vAlign w:val="center"/>
          </w:tcPr>
          <w:p w14:paraId="6D4C93B5"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1.04</w:t>
            </w:r>
          </w:p>
        </w:tc>
        <w:tc>
          <w:tcPr>
            <w:tcW w:w="1979" w:type="dxa"/>
            <w:tcBorders>
              <w:bottom w:val="single" w:sz="4" w:space="0" w:color="000000"/>
            </w:tcBorders>
            <w:shd w:val="clear" w:color="auto" w:fill="auto"/>
            <w:vAlign w:val="center"/>
          </w:tcPr>
          <w:p w14:paraId="2DCB682A" w14:textId="77777777" w:rsidR="00022ADC" w:rsidRDefault="00022ADC" w:rsidP="00127924">
            <w:pPr>
              <w:widowControl w:val="0"/>
              <w:spacing w:after="0" w:line="240" w:lineRule="auto"/>
              <w:jc w:val="center"/>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18%</w:t>
            </w:r>
          </w:p>
        </w:tc>
      </w:tr>
    </w:tbl>
    <w:p w14:paraId="7C03632C" w14:textId="77777777" w:rsidR="00022ADC" w:rsidRDefault="00022ADC" w:rsidP="00022ADC">
      <w:pPr>
        <w:jc w:val="both"/>
        <w:rPr>
          <w:rFonts w:ascii="Times New Roman" w:hAnsi="Times New Roman" w:cs="Times New Roman"/>
          <w:color w:val="000000" w:themeColor="text1"/>
          <w:lang w:val="en-US"/>
        </w:rPr>
      </w:pPr>
    </w:p>
    <w:p w14:paraId="29008333" w14:textId="77777777" w:rsidR="00022ADC" w:rsidRDefault="00022ADC" w:rsidP="00022ADC">
      <w:pPr>
        <w:jc w:val="both"/>
        <w:rPr>
          <w:rFonts w:ascii="Times New Roman" w:hAnsi="Times New Roman" w:cs="Times New Roman"/>
          <w:color w:val="000000" w:themeColor="text1"/>
          <w:lang w:val="en-US"/>
        </w:rPr>
      </w:pPr>
    </w:p>
    <w:p w14:paraId="13B60AE1" w14:textId="77777777" w:rsidR="00022ADC" w:rsidRDefault="00022ADC" w:rsidP="00022ADC">
      <w:pPr>
        <w:jc w:val="both"/>
        <w:rPr>
          <w:rFonts w:ascii="Times New Roman" w:hAnsi="Times New Roman" w:cs="Times New Roman"/>
          <w:color w:val="000000" w:themeColor="text1"/>
          <w:lang w:val="en-US"/>
        </w:rPr>
      </w:pPr>
    </w:p>
    <w:p w14:paraId="49CC1AED" w14:textId="77777777" w:rsidR="00022ADC" w:rsidRPr="00E63B88" w:rsidRDefault="00022ADC" w:rsidP="00CE3663">
      <w:pPr>
        <w:pStyle w:val="Rubrik3"/>
        <w:rPr>
          <w:lang w:val="en-US"/>
        </w:rPr>
      </w:pPr>
      <w:bookmarkStart w:id="4" w:name="_Toc152330768"/>
      <w:r w:rsidRPr="00E63B88">
        <w:rPr>
          <w:lang w:val="en-US"/>
        </w:rPr>
        <w:t>Table SI 2. Grouped statistics for SOC stock calculations.</w:t>
      </w:r>
      <w:bookmarkEnd w:id="4"/>
      <w:r w:rsidRPr="00E63B88">
        <w:rPr>
          <w:lang w:val="en-US"/>
        </w:rPr>
        <w:t xml:space="preserve"> </w:t>
      </w:r>
    </w:p>
    <w:tbl>
      <w:tblPr>
        <w:tblStyle w:val="Tabellrutnt"/>
        <w:tblW w:w="9219" w:type="dxa"/>
        <w:tblLayout w:type="fixed"/>
        <w:tblLook w:val="04A0" w:firstRow="1" w:lastRow="0" w:firstColumn="1" w:lastColumn="0" w:noHBand="0" w:noVBand="1"/>
      </w:tblPr>
      <w:tblGrid>
        <w:gridCol w:w="2542"/>
        <w:gridCol w:w="1023"/>
        <w:gridCol w:w="1538"/>
        <w:gridCol w:w="1260"/>
        <w:gridCol w:w="1261"/>
        <w:gridCol w:w="1595"/>
      </w:tblGrid>
      <w:tr w:rsidR="00022ADC" w:rsidRPr="00036F3F" w14:paraId="302B3A0D" w14:textId="77777777" w:rsidTr="00127924">
        <w:trPr>
          <w:trHeight w:hRule="exact" w:val="247"/>
        </w:trPr>
        <w:tc>
          <w:tcPr>
            <w:tcW w:w="9218" w:type="dxa"/>
            <w:gridSpan w:val="6"/>
            <w:tcBorders>
              <w:top w:val="nil"/>
              <w:left w:val="nil"/>
              <w:right w:val="nil"/>
            </w:tcBorders>
          </w:tcPr>
          <w:p w14:paraId="3631D0FD" w14:textId="77777777" w:rsidR="00022ADC" w:rsidRDefault="00022ADC" w:rsidP="00127924">
            <w:pPr>
              <w:spacing w:after="0" w:line="240" w:lineRule="auto"/>
              <w:jc w:val="both"/>
              <w:rPr>
                <w:rFonts w:ascii="Times New Roman" w:eastAsia="Times New Roman" w:hAnsi="Times New Roman" w:cs="Times New Roman"/>
                <w:color w:val="000000" w:themeColor="text1"/>
              </w:rPr>
            </w:pPr>
          </w:p>
        </w:tc>
      </w:tr>
      <w:tr w:rsidR="00022ADC" w:rsidRPr="00036F3F" w14:paraId="3A559BAF" w14:textId="77777777" w:rsidTr="00127924">
        <w:trPr>
          <w:trHeight w:val="247"/>
        </w:trPr>
        <w:tc>
          <w:tcPr>
            <w:tcW w:w="2541" w:type="dxa"/>
            <w:tcBorders>
              <w:left w:val="nil"/>
            </w:tcBorders>
          </w:tcPr>
          <w:p w14:paraId="055ECAC9" w14:textId="77777777" w:rsidR="00022ADC" w:rsidRDefault="00022ADC" w:rsidP="00127924">
            <w:pPr>
              <w:spacing w:after="0" w:line="240" w:lineRule="auto"/>
              <w:jc w:val="both"/>
              <w:rPr>
                <w:rFonts w:ascii="Times New Roman" w:eastAsia="Times New Roman" w:hAnsi="Times New Roman" w:cs="Times New Roman"/>
                <w:color w:val="000000" w:themeColor="text1"/>
              </w:rPr>
            </w:pPr>
          </w:p>
        </w:tc>
        <w:tc>
          <w:tcPr>
            <w:tcW w:w="1023" w:type="dxa"/>
          </w:tcPr>
          <w:p w14:paraId="20962E21" w14:textId="77777777" w:rsidR="00022ADC" w:rsidRDefault="00022ADC" w:rsidP="00127924">
            <w:pPr>
              <w:spacing w:after="0" w:line="240" w:lineRule="auto"/>
              <w:jc w:val="both"/>
              <w:rPr>
                <w:rFonts w:ascii="Times New Roman" w:eastAsia="Times New Roman" w:hAnsi="Times New Roman" w:cs="Times New Roman"/>
                <w:color w:val="000000" w:themeColor="text1"/>
              </w:rPr>
            </w:pPr>
          </w:p>
        </w:tc>
        <w:tc>
          <w:tcPr>
            <w:tcW w:w="1538" w:type="dxa"/>
          </w:tcPr>
          <w:p w14:paraId="3C7468CD" w14:textId="77777777" w:rsidR="00022ADC" w:rsidRDefault="00022ADC" w:rsidP="00127924">
            <w:pPr>
              <w:spacing w:after="0" w:line="240" w:lineRule="auto"/>
              <w:jc w:val="both"/>
              <w:rPr>
                <w:rFonts w:ascii="Times New Roman" w:eastAsia="Times New Roman" w:hAnsi="Times New Roman" w:cs="Times New Roman"/>
                <w:color w:val="000000" w:themeColor="text1"/>
              </w:rPr>
            </w:pPr>
          </w:p>
        </w:tc>
        <w:tc>
          <w:tcPr>
            <w:tcW w:w="1260" w:type="dxa"/>
          </w:tcPr>
          <w:p w14:paraId="58E55EE2" w14:textId="77777777" w:rsidR="00022ADC" w:rsidRDefault="00022ADC" w:rsidP="00127924">
            <w:pPr>
              <w:spacing w:after="0" w:line="240" w:lineRule="auto"/>
              <w:jc w:val="both"/>
              <w:rPr>
                <w:rFonts w:ascii="Times New Roman" w:eastAsia="Times New Roman" w:hAnsi="Times New Roman" w:cs="Times New Roman"/>
                <w:color w:val="000000" w:themeColor="text1"/>
              </w:rPr>
            </w:pPr>
          </w:p>
        </w:tc>
        <w:tc>
          <w:tcPr>
            <w:tcW w:w="1261" w:type="dxa"/>
          </w:tcPr>
          <w:p w14:paraId="7275D8D8" w14:textId="77777777" w:rsidR="00022ADC" w:rsidRDefault="00022ADC" w:rsidP="00127924">
            <w:pPr>
              <w:spacing w:after="0" w:line="240" w:lineRule="auto"/>
              <w:jc w:val="both"/>
              <w:rPr>
                <w:rFonts w:ascii="Times New Roman" w:eastAsia="Times New Roman" w:hAnsi="Times New Roman" w:cs="Times New Roman"/>
                <w:color w:val="000000" w:themeColor="text1"/>
              </w:rPr>
            </w:pPr>
          </w:p>
        </w:tc>
        <w:tc>
          <w:tcPr>
            <w:tcW w:w="1595" w:type="dxa"/>
            <w:tcBorders>
              <w:right w:val="nil"/>
            </w:tcBorders>
          </w:tcPr>
          <w:p w14:paraId="2E0CC105" w14:textId="77777777" w:rsidR="00022ADC" w:rsidRDefault="00022ADC" w:rsidP="00127924">
            <w:pPr>
              <w:spacing w:after="0" w:line="240" w:lineRule="auto"/>
              <w:jc w:val="both"/>
              <w:rPr>
                <w:rFonts w:ascii="Times New Roman" w:eastAsia="Times New Roman" w:hAnsi="Times New Roman" w:cs="Times New Roman"/>
                <w:color w:val="000000" w:themeColor="text1"/>
              </w:rPr>
            </w:pPr>
          </w:p>
        </w:tc>
      </w:tr>
      <w:tr w:rsidR="00022ADC" w14:paraId="3CE6C3E5" w14:textId="77777777" w:rsidTr="00127924">
        <w:trPr>
          <w:trHeight w:val="247"/>
        </w:trPr>
        <w:tc>
          <w:tcPr>
            <w:tcW w:w="2541" w:type="dxa"/>
            <w:tcBorders>
              <w:left w:val="nil"/>
            </w:tcBorders>
          </w:tcPr>
          <w:p w14:paraId="01424B44"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Ley frequency group</w:t>
            </w:r>
          </w:p>
        </w:tc>
        <w:tc>
          <w:tcPr>
            <w:tcW w:w="1023" w:type="dxa"/>
            <w:vAlign w:val="center"/>
          </w:tcPr>
          <w:p w14:paraId="674E1624"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SASI group</w:t>
            </w:r>
          </w:p>
        </w:tc>
        <w:tc>
          <w:tcPr>
            <w:tcW w:w="1538" w:type="dxa"/>
            <w:vAlign w:val="center"/>
          </w:tcPr>
          <w:p w14:paraId="39B443E3"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mean</w:t>
            </w:r>
          </w:p>
        </w:tc>
        <w:tc>
          <w:tcPr>
            <w:tcW w:w="1260" w:type="dxa"/>
            <w:vAlign w:val="center"/>
          </w:tcPr>
          <w:p w14:paraId="539D347B"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std</w:t>
            </w:r>
          </w:p>
        </w:tc>
        <w:tc>
          <w:tcPr>
            <w:tcW w:w="1261" w:type="dxa"/>
            <w:vAlign w:val="center"/>
          </w:tcPr>
          <w:p w14:paraId="50F3246E"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min</w:t>
            </w:r>
          </w:p>
        </w:tc>
        <w:tc>
          <w:tcPr>
            <w:tcW w:w="1595" w:type="dxa"/>
            <w:tcBorders>
              <w:right w:val="nil"/>
            </w:tcBorders>
            <w:vAlign w:val="center"/>
          </w:tcPr>
          <w:p w14:paraId="1AC97052"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max</w:t>
            </w:r>
          </w:p>
        </w:tc>
      </w:tr>
      <w:tr w:rsidR="00022ADC" w14:paraId="21733622" w14:textId="77777777" w:rsidTr="00127924">
        <w:trPr>
          <w:trHeight w:val="247"/>
        </w:trPr>
        <w:tc>
          <w:tcPr>
            <w:tcW w:w="2541" w:type="dxa"/>
            <w:tcBorders>
              <w:left w:val="nil"/>
            </w:tcBorders>
          </w:tcPr>
          <w:p w14:paraId="7BF5F451"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w:t>
            </w:r>
          </w:p>
        </w:tc>
        <w:tc>
          <w:tcPr>
            <w:tcW w:w="1023" w:type="dxa"/>
          </w:tcPr>
          <w:p w14:paraId="25AAB63F"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S1</w:t>
            </w:r>
          </w:p>
        </w:tc>
        <w:tc>
          <w:tcPr>
            <w:tcW w:w="1538" w:type="dxa"/>
          </w:tcPr>
          <w:p w14:paraId="211E5B3E"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63.6</w:t>
            </w:r>
          </w:p>
        </w:tc>
        <w:tc>
          <w:tcPr>
            <w:tcW w:w="1260" w:type="dxa"/>
          </w:tcPr>
          <w:p w14:paraId="249F1086"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w:t>
            </w:r>
          </w:p>
        </w:tc>
        <w:tc>
          <w:tcPr>
            <w:tcW w:w="1261" w:type="dxa"/>
          </w:tcPr>
          <w:p w14:paraId="0549A499"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23.3</w:t>
            </w:r>
          </w:p>
        </w:tc>
        <w:tc>
          <w:tcPr>
            <w:tcW w:w="1595" w:type="dxa"/>
            <w:tcBorders>
              <w:right w:val="nil"/>
            </w:tcBorders>
          </w:tcPr>
          <w:p w14:paraId="753C32BB"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136.8</w:t>
            </w:r>
          </w:p>
        </w:tc>
      </w:tr>
      <w:tr w:rsidR="00022ADC" w14:paraId="40B8B748" w14:textId="77777777" w:rsidTr="00127924">
        <w:trPr>
          <w:trHeight w:val="247"/>
        </w:trPr>
        <w:tc>
          <w:tcPr>
            <w:tcW w:w="2541" w:type="dxa"/>
            <w:tcBorders>
              <w:left w:val="nil"/>
            </w:tcBorders>
          </w:tcPr>
          <w:p w14:paraId="5BF0761D" w14:textId="77777777" w:rsidR="00022ADC" w:rsidRDefault="00022ADC" w:rsidP="00127924">
            <w:pPr>
              <w:spacing w:after="0" w:line="240" w:lineRule="auto"/>
              <w:jc w:val="both"/>
              <w:rPr>
                <w:rFonts w:ascii="Times New Roman" w:eastAsia="Times New Roman" w:hAnsi="Times New Roman" w:cs="Times New Roman"/>
                <w:color w:val="000000" w:themeColor="text1"/>
              </w:rPr>
            </w:pPr>
          </w:p>
        </w:tc>
        <w:tc>
          <w:tcPr>
            <w:tcW w:w="1023" w:type="dxa"/>
          </w:tcPr>
          <w:p w14:paraId="32F0267B"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S2</w:t>
            </w:r>
          </w:p>
        </w:tc>
        <w:tc>
          <w:tcPr>
            <w:tcW w:w="1538" w:type="dxa"/>
          </w:tcPr>
          <w:p w14:paraId="4200FE65"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65.2</w:t>
            </w:r>
          </w:p>
        </w:tc>
        <w:tc>
          <w:tcPr>
            <w:tcW w:w="1260" w:type="dxa"/>
          </w:tcPr>
          <w:p w14:paraId="3B2C4DFF"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21.1</w:t>
            </w:r>
          </w:p>
        </w:tc>
        <w:tc>
          <w:tcPr>
            <w:tcW w:w="1261" w:type="dxa"/>
          </w:tcPr>
          <w:p w14:paraId="2DB8F94B"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27.5</w:t>
            </w:r>
          </w:p>
        </w:tc>
        <w:tc>
          <w:tcPr>
            <w:tcW w:w="1595" w:type="dxa"/>
            <w:tcBorders>
              <w:right w:val="nil"/>
            </w:tcBorders>
          </w:tcPr>
          <w:p w14:paraId="2C407AEE"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166.4</w:t>
            </w:r>
          </w:p>
        </w:tc>
      </w:tr>
      <w:tr w:rsidR="00022ADC" w14:paraId="4B61DE8F" w14:textId="77777777" w:rsidTr="00127924">
        <w:trPr>
          <w:trHeight w:val="247"/>
        </w:trPr>
        <w:tc>
          <w:tcPr>
            <w:tcW w:w="2541" w:type="dxa"/>
            <w:tcBorders>
              <w:left w:val="nil"/>
            </w:tcBorders>
          </w:tcPr>
          <w:p w14:paraId="095C0F30"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1-20%</w:t>
            </w:r>
          </w:p>
        </w:tc>
        <w:tc>
          <w:tcPr>
            <w:tcW w:w="1023" w:type="dxa"/>
          </w:tcPr>
          <w:p w14:paraId="2BBF6999"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S1</w:t>
            </w:r>
          </w:p>
        </w:tc>
        <w:tc>
          <w:tcPr>
            <w:tcW w:w="1538" w:type="dxa"/>
          </w:tcPr>
          <w:p w14:paraId="6942DF28"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64.7</w:t>
            </w:r>
          </w:p>
        </w:tc>
        <w:tc>
          <w:tcPr>
            <w:tcW w:w="1260" w:type="dxa"/>
          </w:tcPr>
          <w:p w14:paraId="4577F3CC"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23.0</w:t>
            </w:r>
          </w:p>
        </w:tc>
        <w:tc>
          <w:tcPr>
            <w:tcW w:w="1261" w:type="dxa"/>
          </w:tcPr>
          <w:p w14:paraId="25D0B306"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6.5</w:t>
            </w:r>
          </w:p>
        </w:tc>
        <w:tc>
          <w:tcPr>
            <w:tcW w:w="1595" w:type="dxa"/>
            <w:tcBorders>
              <w:right w:val="nil"/>
            </w:tcBorders>
          </w:tcPr>
          <w:p w14:paraId="5270C5D2"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136.1</w:t>
            </w:r>
          </w:p>
        </w:tc>
      </w:tr>
      <w:tr w:rsidR="00022ADC" w14:paraId="34D2C9CE" w14:textId="77777777" w:rsidTr="00127924">
        <w:trPr>
          <w:trHeight w:val="247"/>
        </w:trPr>
        <w:tc>
          <w:tcPr>
            <w:tcW w:w="2541" w:type="dxa"/>
            <w:tcBorders>
              <w:left w:val="nil"/>
            </w:tcBorders>
          </w:tcPr>
          <w:p w14:paraId="04A3E28E" w14:textId="77777777" w:rsidR="00022ADC" w:rsidRDefault="00022ADC" w:rsidP="00127924">
            <w:pPr>
              <w:spacing w:after="0" w:line="240" w:lineRule="auto"/>
              <w:jc w:val="both"/>
              <w:rPr>
                <w:rFonts w:ascii="Times New Roman" w:eastAsia="Times New Roman" w:hAnsi="Times New Roman" w:cs="Times New Roman"/>
                <w:color w:val="000000" w:themeColor="text1"/>
              </w:rPr>
            </w:pPr>
          </w:p>
        </w:tc>
        <w:tc>
          <w:tcPr>
            <w:tcW w:w="1023" w:type="dxa"/>
          </w:tcPr>
          <w:p w14:paraId="1E370375"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S2</w:t>
            </w:r>
          </w:p>
        </w:tc>
        <w:tc>
          <w:tcPr>
            <w:tcW w:w="1538" w:type="dxa"/>
          </w:tcPr>
          <w:p w14:paraId="3F8C56E0"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67.7</w:t>
            </w:r>
          </w:p>
        </w:tc>
        <w:tc>
          <w:tcPr>
            <w:tcW w:w="1260" w:type="dxa"/>
          </w:tcPr>
          <w:p w14:paraId="05EDB222"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21.2</w:t>
            </w:r>
          </w:p>
        </w:tc>
        <w:tc>
          <w:tcPr>
            <w:tcW w:w="1261" w:type="dxa"/>
          </w:tcPr>
          <w:p w14:paraId="0AD78544"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15.2</w:t>
            </w:r>
          </w:p>
        </w:tc>
        <w:tc>
          <w:tcPr>
            <w:tcW w:w="1595" w:type="dxa"/>
            <w:tcBorders>
              <w:right w:val="nil"/>
            </w:tcBorders>
          </w:tcPr>
          <w:p w14:paraId="09203D0D"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143.4</w:t>
            </w:r>
          </w:p>
        </w:tc>
      </w:tr>
      <w:tr w:rsidR="00022ADC" w14:paraId="654906F1" w14:textId="77777777" w:rsidTr="00127924">
        <w:trPr>
          <w:trHeight w:val="247"/>
        </w:trPr>
        <w:tc>
          <w:tcPr>
            <w:tcW w:w="2541" w:type="dxa"/>
            <w:tcBorders>
              <w:left w:val="nil"/>
            </w:tcBorders>
          </w:tcPr>
          <w:p w14:paraId="1594B283"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21-40%</w:t>
            </w:r>
          </w:p>
        </w:tc>
        <w:tc>
          <w:tcPr>
            <w:tcW w:w="1023" w:type="dxa"/>
          </w:tcPr>
          <w:p w14:paraId="04911ACB"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S1</w:t>
            </w:r>
          </w:p>
        </w:tc>
        <w:tc>
          <w:tcPr>
            <w:tcW w:w="1538" w:type="dxa"/>
          </w:tcPr>
          <w:p w14:paraId="4DBD90FF"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64.0</w:t>
            </w:r>
          </w:p>
        </w:tc>
        <w:tc>
          <w:tcPr>
            <w:tcW w:w="1260" w:type="dxa"/>
          </w:tcPr>
          <w:p w14:paraId="7C7069C3"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19.5</w:t>
            </w:r>
          </w:p>
        </w:tc>
        <w:tc>
          <w:tcPr>
            <w:tcW w:w="1261" w:type="dxa"/>
          </w:tcPr>
          <w:p w14:paraId="7F9669F4"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25.0</w:t>
            </w:r>
          </w:p>
        </w:tc>
        <w:tc>
          <w:tcPr>
            <w:tcW w:w="1595" w:type="dxa"/>
            <w:tcBorders>
              <w:right w:val="nil"/>
            </w:tcBorders>
          </w:tcPr>
          <w:p w14:paraId="486BA941"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124.2</w:t>
            </w:r>
          </w:p>
        </w:tc>
      </w:tr>
      <w:tr w:rsidR="00022ADC" w14:paraId="096CFFE7" w14:textId="77777777" w:rsidTr="00127924">
        <w:trPr>
          <w:trHeight w:val="247"/>
        </w:trPr>
        <w:tc>
          <w:tcPr>
            <w:tcW w:w="2541" w:type="dxa"/>
            <w:tcBorders>
              <w:left w:val="nil"/>
            </w:tcBorders>
          </w:tcPr>
          <w:p w14:paraId="3D9C2DB5" w14:textId="77777777" w:rsidR="00022ADC" w:rsidRDefault="00022ADC" w:rsidP="00127924">
            <w:pPr>
              <w:spacing w:after="0" w:line="240" w:lineRule="auto"/>
              <w:jc w:val="both"/>
              <w:rPr>
                <w:rFonts w:ascii="Times New Roman" w:eastAsia="Times New Roman" w:hAnsi="Times New Roman" w:cs="Times New Roman"/>
                <w:color w:val="000000" w:themeColor="text1"/>
              </w:rPr>
            </w:pPr>
          </w:p>
        </w:tc>
        <w:tc>
          <w:tcPr>
            <w:tcW w:w="1023" w:type="dxa"/>
          </w:tcPr>
          <w:p w14:paraId="2B9250A5"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S2</w:t>
            </w:r>
          </w:p>
        </w:tc>
        <w:tc>
          <w:tcPr>
            <w:tcW w:w="1538" w:type="dxa"/>
          </w:tcPr>
          <w:p w14:paraId="272CA641"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69.0</w:t>
            </w:r>
          </w:p>
        </w:tc>
        <w:tc>
          <w:tcPr>
            <w:tcW w:w="1260" w:type="dxa"/>
          </w:tcPr>
          <w:p w14:paraId="76F2DD0F"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21.6</w:t>
            </w:r>
          </w:p>
        </w:tc>
        <w:tc>
          <w:tcPr>
            <w:tcW w:w="1261" w:type="dxa"/>
          </w:tcPr>
          <w:p w14:paraId="5E17734C"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21.7</w:t>
            </w:r>
          </w:p>
        </w:tc>
        <w:tc>
          <w:tcPr>
            <w:tcW w:w="1595" w:type="dxa"/>
            <w:tcBorders>
              <w:right w:val="nil"/>
            </w:tcBorders>
          </w:tcPr>
          <w:p w14:paraId="44AF0559"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134.5</w:t>
            </w:r>
          </w:p>
        </w:tc>
      </w:tr>
      <w:tr w:rsidR="00022ADC" w14:paraId="45C0321B" w14:textId="77777777" w:rsidTr="00127924">
        <w:trPr>
          <w:trHeight w:val="247"/>
        </w:trPr>
        <w:tc>
          <w:tcPr>
            <w:tcW w:w="2541" w:type="dxa"/>
            <w:tcBorders>
              <w:left w:val="nil"/>
            </w:tcBorders>
          </w:tcPr>
          <w:p w14:paraId="35A1E8DB"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41-60%</w:t>
            </w:r>
          </w:p>
        </w:tc>
        <w:tc>
          <w:tcPr>
            <w:tcW w:w="1023" w:type="dxa"/>
          </w:tcPr>
          <w:p w14:paraId="1F6EEC48"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S1</w:t>
            </w:r>
          </w:p>
        </w:tc>
        <w:tc>
          <w:tcPr>
            <w:tcW w:w="1538" w:type="dxa"/>
          </w:tcPr>
          <w:p w14:paraId="7D6B4E02"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71.0</w:t>
            </w:r>
          </w:p>
        </w:tc>
        <w:tc>
          <w:tcPr>
            <w:tcW w:w="1260" w:type="dxa"/>
          </w:tcPr>
          <w:p w14:paraId="189CAA59"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22.9</w:t>
            </w:r>
          </w:p>
        </w:tc>
        <w:tc>
          <w:tcPr>
            <w:tcW w:w="1261" w:type="dxa"/>
          </w:tcPr>
          <w:p w14:paraId="4D3FE97B"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30.9</w:t>
            </w:r>
          </w:p>
        </w:tc>
        <w:tc>
          <w:tcPr>
            <w:tcW w:w="1595" w:type="dxa"/>
            <w:tcBorders>
              <w:right w:val="nil"/>
            </w:tcBorders>
          </w:tcPr>
          <w:p w14:paraId="27ECE2A9"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133.9</w:t>
            </w:r>
          </w:p>
        </w:tc>
      </w:tr>
      <w:tr w:rsidR="00022ADC" w14:paraId="7A0DE461" w14:textId="77777777" w:rsidTr="00127924">
        <w:trPr>
          <w:trHeight w:val="247"/>
        </w:trPr>
        <w:tc>
          <w:tcPr>
            <w:tcW w:w="2541" w:type="dxa"/>
            <w:tcBorders>
              <w:left w:val="nil"/>
            </w:tcBorders>
          </w:tcPr>
          <w:p w14:paraId="794EFEEF" w14:textId="77777777" w:rsidR="00022ADC" w:rsidRDefault="00022ADC" w:rsidP="00127924">
            <w:pPr>
              <w:spacing w:after="0" w:line="240" w:lineRule="auto"/>
              <w:jc w:val="both"/>
              <w:rPr>
                <w:rFonts w:ascii="Times New Roman" w:eastAsia="Times New Roman" w:hAnsi="Times New Roman" w:cs="Times New Roman"/>
                <w:color w:val="000000" w:themeColor="text1"/>
              </w:rPr>
            </w:pPr>
          </w:p>
        </w:tc>
        <w:tc>
          <w:tcPr>
            <w:tcW w:w="1023" w:type="dxa"/>
          </w:tcPr>
          <w:p w14:paraId="669721D0"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S2</w:t>
            </w:r>
          </w:p>
        </w:tc>
        <w:tc>
          <w:tcPr>
            <w:tcW w:w="1538" w:type="dxa"/>
          </w:tcPr>
          <w:p w14:paraId="4EF926AB"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74.4</w:t>
            </w:r>
          </w:p>
        </w:tc>
        <w:tc>
          <w:tcPr>
            <w:tcW w:w="1260" w:type="dxa"/>
          </w:tcPr>
          <w:p w14:paraId="474D3C7F"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23.1</w:t>
            </w:r>
          </w:p>
        </w:tc>
        <w:tc>
          <w:tcPr>
            <w:tcW w:w="1261" w:type="dxa"/>
          </w:tcPr>
          <w:p w14:paraId="7916ADD3"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23.8</w:t>
            </w:r>
          </w:p>
        </w:tc>
        <w:tc>
          <w:tcPr>
            <w:tcW w:w="1595" w:type="dxa"/>
            <w:tcBorders>
              <w:right w:val="nil"/>
            </w:tcBorders>
          </w:tcPr>
          <w:p w14:paraId="761761BF"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137.1</w:t>
            </w:r>
          </w:p>
        </w:tc>
      </w:tr>
      <w:tr w:rsidR="00022ADC" w14:paraId="5503671C" w14:textId="77777777" w:rsidTr="00127924">
        <w:trPr>
          <w:trHeight w:val="247"/>
        </w:trPr>
        <w:tc>
          <w:tcPr>
            <w:tcW w:w="2541" w:type="dxa"/>
            <w:tcBorders>
              <w:left w:val="nil"/>
            </w:tcBorders>
          </w:tcPr>
          <w:p w14:paraId="01FF5128"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61-80%</w:t>
            </w:r>
          </w:p>
        </w:tc>
        <w:tc>
          <w:tcPr>
            <w:tcW w:w="1023" w:type="dxa"/>
          </w:tcPr>
          <w:p w14:paraId="3AD91F02"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S1</w:t>
            </w:r>
          </w:p>
        </w:tc>
        <w:tc>
          <w:tcPr>
            <w:tcW w:w="1538" w:type="dxa"/>
          </w:tcPr>
          <w:p w14:paraId="36876167"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73.2</w:t>
            </w:r>
          </w:p>
        </w:tc>
        <w:tc>
          <w:tcPr>
            <w:tcW w:w="1260" w:type="dxa"/>
          </w:tcPr>
          <w:p w14:paraId="02B07674"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22.1</w:t>
            </w:r>
          </w:p>
        </w:tc>
        <w:tc>
          <w:tcPr>
            <w:tcW w:w="1261" w:type="dxa"/>
          </w:tcPr>
          <w:p w14:paraId="46BCDEF0"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22.0</w:t>
            </w:r>
          </w:p>
        </w:tc>
        <w:tc>
          <w:tcPr>
            <w:tcW w:w="1595" w:type="dxa"/>
            <w:tcBorders>
              <w:right w:val="nil"/>
            </w:tcBorders>
          </w:tcPr>
          <w:p w14:paraId="56C169C4"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132.3</w:t>
            </w:r>
          </w:p>
        </w:tc>
      </w:tr>
      <w:tr w:rsidR="00022ADC" w14:paraId="2D66B3BE" w14:textId="77777777" w:rsidTr="00127924">
        <w:trPr>
          <w:trHeight w:val="247"/>
        </w:trPr>
        <w:tc>
          <w:tcPr>
            <w:tcW w:w="2541" w:type="dxa"/>
            <w:tcBorders>
              <w:left w:val="nil"/>
            </w:tcBorders>
          </w:tcPr>
          <w:p w14:paraId="7E976E04" w14:textId="77777777" w:rsidR="00022ADC" w:rsidRDefault="00022ADC" w:rsidP="00127924">
            <w:pPr>
              <w:spacing w:after="0" w:line="240" w:lineRule="auto"/>
              <w:jc w:val="both"/>
              <w:rPr>
                <w:rFonts w:ascii="Times New Roman" w:eastAsia="Times New Roman" w:hAnsi="Times New Roman" w:cs="Times New Roman"/>
                <w:color w:val="000000" w:themeColor="text1"/>
              </w:rPr>
            </w:pPr>
          </w:p>
        </w:tc>
        <w:tc>
          <w:tcPr>
            <w:tcW w:w="1023" w:type="dxa"/>
          </w:tcPr>
          <w:p w14:paraId="12648F49"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S2</w:t>
            </w:r>
          </w:p>
        </w:tc>
        <w:tc>
          <w:tcPr>
            <w:tcW w:w="1538" w:type="dxa"/>
          </w:tcPr>
          <w:p w14:paraId="36D99280"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75.4</w:t>
            </w:r>
          </w:p>
        </w:tc>
        <w:tc>
          <w:tcPr>
            <w:tcW w:w="1260" w:type="dxa"/>
          </w:tcPr>
          <w:p w14:paraId="53D60E11"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22.6</w:t>
            </w:r>
          </w:p>
        </w:tc>
        <w:tc>
          <w:tcPr>
            <w:tcW w:w="1261" w:type="dxa"/>
          </w:tcPr>
          <w:p w14:paraId="55E68CA6"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19.8</w:t>
            </w:r>
          </w:p>
        </w:tc>
        <w:tc>
          <w:tcPr>
            <w:tcW w:w="1595" w:type="dxa"/>
            <w:tcBorders>
              <w:right w:val="nil"/>
            </w:tcBorders>
          </w:tcPr>
          <w:p w14:paraId="08AE9A6B"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160.0</w:t>
            </w:r>
          </w:p>
        </w:tc>
      </w:tr>
      <w:tr w:rsidR="00022ADC" w14:paraId="4D12942B" w14:textId="77777777" w:rsidTr="00127924">
        <w:trPr>
          <w:trHeight w:val="247"/>
        </w:trPr>
        <w:tc>
          <w:tcPr>
            <w:tcW w:w="2541" w:type="dxa"/>
            <w:tcBorders>
              <w:left w:val="nil"/>
            </w:tcBorders>
          </w:tcPr>
          <w:p w14:paraId="580A54B1"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81-100%</w:t>
            </w:r>
          </w:p>
        </w:tc>
        <w:tc>
          <w:tcPr>
            <w:tcW w:w="1023" w:type="dxa"/>
          </w:tcPr>
          <w:p w14:paraId="1F5FEDE2"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S1</w:t>
            </w:r>
          </w:p>
        </w:tc>
        <w:tc>
          <w:tcPr>
            <w:tcW w:w="1538" w:type="dxa"/>
          </w:tcPr>
          <w:p w14:paraId="3E35B9F0"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76.9</w:t>
            </w:r>
          </w:p>
        </w:tc>
        <w:tc>
          <w:tcPr>
            <w:tcW w:w="1260" w:type="dxa"/>
          </w:tcPr>
          <w:p w14:paraId="2E2B06ED"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23.3</w:t>
            </w:r>
          </w:p>
        </w:tc>
        <w:tc>
          <w:tcPr>
            <w:tcW w:w="1261" w:type="dxa"/>
          </w:tcPr>
          <w:p w14:paraId="43B58AAA"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23.3</w:t>
            </w:r>
          </w:p>
        </w:tc>
        <w:tc>
          <w:tcPr>
            <w:tcW w:w="1595" w:type="dxa"/>
            <w:tcBorders>
              <w:right w:val="nil"/>
            </w:tcBorders>
          </w:tcPr>
          <w:p w14:paraId="26956A0F"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136.8</w:t>
            </w:r>
          </w:p>
        </w:tc>
      </w:tr>
      <w:tr w:rsidR="00022ADC" w14:paraId="11DDE4FD" w14:textId="77777777" w:rsidTr="00127924">
        <w:trPr>
          <w:trHeight w:val="247"/>
        </w:trPr>
        <w:tc>
          <w:tcPr>
            <w:tcW w:w="2541" w:type="dxa"/>
            <w:tcBorders>
              <w:left w:val="nil"/>
              <w:bottom w:val="nil"/>
            </w:tcBorders>
          </w:tcPr>
          <w:p w14:paraId="5CCB23D7" w14:textId="77777777" w:rsidR="00022ADC" w:rsidRDefault="00022ADC" w:rsidP="00127924">
            <w:pPr>
              <w:spacing w:after="0" w:line="240" w:lineRule="auto"/>
              <w:jc w:val="both"/>
              <w:rPr>
                <w:rFonts w:ascii="Times New Roman" w:eastAsia="Times New Roman" w:hAnsi="Times New Roman" w:cs="Times New Roman"/>
                <w:color w:val="000000" w:themeColor="text1"/>
              </w:rPr>
            </w:pPr>
          </w:p>
        </w:tc>
        <w:tc>
          <w:tcPr>
            <w:tcW w:w="1023" w:type="dxa"/>
            <w:tcBorders>
              <w:bottom w:val="nil"/>
            </w:tcBorders>
          </w:tcPr>
          <w:p w14:paraId="782AD05C"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S2</w:t>
            </w:r>
          </w:p>
        </w:tc>
        <w:tc>
          <w:tcPr>
            <w:tcW w:w="1538" w:type="dxa"/>
            <w:tcBorders>
              <w:bottom w:val="nil"/>
            </w:tcBorders>
          </w:tcPr>
          <w:p w14:paraId="1D8850C9"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81.4</w:t>
            </w:r>
          </w:p>
        </w:tc>
        <w:tc>
          <w:tcPr>
            <w:tcW w:w="1260" w:type="dxa"/>
            <w:tcBorders>
              <w:bottom w:val="nil"/>
            </w:tcBorders>
          </w:tcPr>
          <w:p w14:paraId="118FF023"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22.7</w:t>
            </w:r>
          </w:p>
        </w:tc>
        <w:tc>
          <w:tcPr>
            <w:tcW w:w="1261" w:type="dxa"/>
            <w:tcBorders>
              <w:bottom w:val="nil"/>
            </w:tcBorders>
          </w:tcPr>
          <w:p w14:paraId="59FC1C45"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34.0</w:t>
            </w:r>
          </w:p>
        </w:tc>
        <w:tc>
          <w:tcPr>
            <w:tcW w:w="1595" w:type="dxa"/>
            <w:tcBorders>
              <w:bottom w:val="nil"/>
              <w:right w:val="nil"/>
            </w:tcBorders>
          </w:tcPr>
          <w:p w14:paraId="37D56DB1" w14:textId="77777777" w:rsidR="00022ADC" w:rsidRDefault="00022ADC" w:rsidP="00127924">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143.9</w:t>
            </w:r>
          </w:p>
        </w:tc>
      </w:tr>
    </w:tbl>
    <w:p w14:paraId="08A66E8B" w14:textId="77777777" w:rsidR="00022ADC" w:rsidRDefault="00022ADC" w:rsidP="00022ADC">
      <w:pPr>
        <w:jc w:val="both"/>
        <w:rPr>
          <w:rFonts w:ascii="Times New Roman" w:hAnsi="Times New Roman" w:cs="Times New Roman"/>
          <w:color w:val="000000" w:themeColor="text1"/>
          <w:lang w:val="en-US"/>
        </w:rPr>
      </w:pPr>
    </w:p>
    <w:p w14:paraId="73EB798C" w14:textId="77777777" w:rsidR="00022ADC" w:rsidRDefault="00022ADC" w:rsidP="00022ADC">
      <w:pPr>
        <w:rPr>
          <w:rFonts w:ascii="Times New Roman" w:hAnsi="Times New Roman" w:cs="Times New Roman"/>
          <w:color w:val="000000" w:themeColor="text1"/>
          <w:lang w:val="en-US"/>
        </w:rPr>
      </w:pPr>
    </w:p>
    <w:p w14:paraId="2BA2F2C3" w14:textId="77777777" w:rsidR="00022ADC" w:rsidRDefault="00022ADC" w:rsidP="00022ADC">
      <w:pPr>
        <w:spacing w:after="0" w:line="240" w:lineRule="auto"/>
        <w:rPr>
          <w:rFonts w:ascii="Times New Roman" w:eastAsiaTheme="majorEastAsia" w:hAnsi="Times New Roman" w:cs="Times New Roman"/>
          <w:color w:val="000000" w:themeColor="text1"/>
          <w:sz w:val="32"/>
          <w:szCs w:val="32"/>
          <w:lang w:val="en-US"/>
        </w:rPr>
      </w:pPr>
      <w:r>
        <w:br w:type="page"/>
      </w:r>
    </w:p>
    <w:p w14:paraId="2547E2E8" w14:textId="1E11D4B2" w:rsidR="00022ADC" w:rsidRDefault="00022ADC" w:rsidP="00022ADC">
      <w:pPr>
        <w:pStyle w:val="Rubrik1"/>
        <w:spacing w:before="0"/>
        <w:rPr>
          <w:rFonts w:cs="Times New Roman"/>
          <w:lang w:val="en-US"/>
        </w:rPr>
      </w:pPr>
      <w:bookmarkStart w:id="5" w:name="_Toc146892799"/>
      <w:bookmarkStart w:id="6" w:name="_Toc147493688"/>
      <w:bookmarkStart w:id="7" w:name="_Toc152330769"/>
      <w:r w:rsidRPr="008B4D6F">
        <w:rPr>
          <w:rFonts w:cs="Times New Roman"/>
          <w:lang w:val="en-US"/>
        </w:rPr>
        <w:lastRenderedPageBreak/>
        <w:t>SI – 2. Impact factors for soil organic carbon</w:t>
      </w:r>
      <w:bookmarkEnd w:id="5"/>
      <w:bookmarkEnd w:id="6"/>
      <w:bookmarkEnd w:id="7"/>
    </w:p>
    <w:p w14:paraId="46B4F858" w14:textId="77777777" w:rsidR="006D7645" w:rsidRDefault="006D7645" w:rsidP="00022ADC">
      <w:pPr>
        <w:jc w:val="both"/>
        <w:rPr>
          <w:rFonts w:ascii="Times New Roman" w:hAnsi="Times New Roman" w:cs="Times New Roman"/>
          <w:color w:val="000000" w:themeColor="text1"/>
          <w:lang w:val="en-US"/>
        </w:rPr>
      </w:pPr>
    </w:p>
    <w:p w14:paraId="4ADB553F" w14:textId="08D3A854" w:rsidR="00022ADC" w:rsidRDefault="00022ADC" w:rsidP="00CE3663">
      <w:pPr>
        <w:pStyle w:val="Rubrik3"/>
        <w:rPr>
          <w:lang w:val="en-US"/>
        </w:rPr>
      </w:pPr>
      <w:bookmarkStart w:id="8" w:name="_Toc152330770"/>
      <w:r w:rsidRPr="00022ADC">
        <w:rPr>
          <w:lang w:val="en-US"/>
        </w:rPr>
        <w:t>Table SI 3.  Table with results from the Regression analysis on the field dataset. E</w:t>
      </w:r>
      <w:r w:rsidR="008310F2">
        <w:rPr>
          <w:lang w:val="en-US"/>
        </w:rPr>
        <w:t>q</w:t>
      </w:r>
      <w:r w:rsidRPr="00022ADC">
        <w:rPr>
          <w:lang w:val="en-US"/>
        </w:rPr>
        <w:t xml:space="preserve"> 1 shows the regression analysis for SOC as the dependent </w:t>
      </w:r>
      <w:r w:rsidR="00A1707A">
        <w:rPr>
          <w:lang w:val="en-US"/>
        </w:rPr>
        <w:t xml:space="preserve">variable. </w:t>
      </w:r>
      <w:r w:rsidRPr="00022ADC">
        <w:rPr>
          <w:lang w:val="en-US"/>
        </w:rPr>
        <w:t xml:space="preserve">Bold value is the Intercept of the equation, and predictors in cursive and bold are statistically significant.  Below the equations, additional regression for the two dependent variables is found. </w:t>
      </w:r>
      <w:r w:rsidR="00500232">
        <w:rPr>
          <w:lang w:val="en-US"/>
        </w:rPr>
        <w:br/>
      </w:r>
      <w:r w:rsidR="00D91080">
        <w:rPr>
          <w:lang w:val="en-US"/>
        </w:rPr>
        <w:t xml:space="preserve">VIF = </w:t>
      </w:r>
      <w:r w:rsidR="00500232">
        <w:rPr>
          <w:lang w:val="en-US"/>
        </w:rPr>
        <w:t>Variance Inflation Factor</w:t>
      </w:r>
      <w:bookmarkEnd w:id="8"/>
    </w:p>
    <w:p w14:paraId="511F3705" w14:textId="77777777" w:rsidR="00B75373" w:rsidRPr="00B75373" w:rsidRDefault="00B75373" w:rsidP="00B75373">
      <w:pPr>
        <w:rPr>
          <w:lang w:val="en-US"/>
        </w:rPr>
      </w:pPr>
    </w:p>
    <w:tbl>
      <w:tblPr>
        <w:tblW w:w="960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65"/>
        <w:gridCol w:w="753"/>
        <w:gridCol w:w="1415"/>
        <w:gridCol w:w="849"/>
        <w:gridCol w:w="466"/>
        <w:gridCol w:w="2082"/>
        <w:gridCol w:w="1315"/>
        <w:gridCol w:w="990"/>
        <w:gridCol w:w="819"/>
        <w:gridCol w:w="447"/>
      </w:tblGrid>
      <w:tr w:rsidR="007F5142" w:rsidRPr="000A708A" w14:paraId="4B2CB367" w14:textId="43870242" w:rsidTr="00090E4E">
        <w:trPr>
          <w:trHeight w:val="288"/>
        </w:trPr>
        <w:tc>
          <w:tcPr>
            <w:tcW w:w="1219" w:type="dxa"/>
            <w:gridSpan w:val="2"/>
            <w:shd w:val="clear" w:color="auto" w:fill="auto"/>
            <w:vAlign w:val="center"/>
          </w:tcPr>
          <w:p w14:paraId="5B6233D1" w14:textId="77777777" w:rsidR="007F5142" w:rsidRPr="008E1B7F" w:rsidRDefault="007F5142" w:rsidP="00127924">
            <w:pPr>
              <w:suppressAutoHyphens w:val="0"/>
              <w:spacing w:after="0" w:line="240" w:lineRule="auto"/>
              <w:rPr>
                <w:rFonts w:ascii="Times New Roman" w:eastAsia="Times New Roman" w:hAnsi="Times New Roman" w:cs="Times New Roman"/>
                <w:color w:val="000000" w:themeColor="text1"/>
                <w:sz w:val="24"/>
                <w:szCs w:val="24"/>
                <w:lang w:val="en-US" w:eastAsia="sv-SE"/>
              </w:rPr>
            </w:pPr>
            <w:r w:rsidRPr="008E1B7F">
              <w:rPr>
                <w:rFonts w:ascii="Times New Roman" w:eastAsia="Times New Roman" w:hAnsi="Times New Roman" w:cs="Times New Roman"/>
                <w:color w:val="000000" w:themeColor="text1"/>
                <w:sz w:val="24"/>
                <w:szCs w:val="24"/>
                <w:lang w:val="en-US" w:eastAsia="sv-SE"/>
              </w:rPr>
              <w:t>Dependent</w:t>
            </w:r>
          </w:p>
        </w:tc>
        <w:tc>
          <w:tcPr>
            <w:tcW w:w="1415" w:type="dxa"/>
            <w:shd w:val="clear" w:color="auto" w:fill="auto"/>
            <w:vAlign w:val="center"/>
          </w:tcPr>
          <w:p w14:paraId="616AC246" w14:textId="77777777" w:rsidR="007F5142" w:rsidRPr="008E1B7F" w:rsidRDefault="007F5142" w:rsidP="00127924">
            <w:pPr>
              <w:suppressAutoHyphens w:val="0"/>
              <w:spacing w:after="0" w:line="240" w:lineRule="auto"/>
              <w:rPr>
                <w:rFonts w:ascii="Times New Roman" w:eastAsia="Times New Roman" w:hAnsi="Times New Roman" w:cs="Times New Roman"/>
                <w:b/>
                <w:bCs/>
                <w:color w:val="000000" w:themeColor="text1"/>
                <w:sz w:val="24"/>
                <w:szCs w:val="24"/>
                <w:lang w:val="en-US" w:eastAsia="sv-SE"/>
              </w:rPr>
            </w:pPr>
            <w:r w:rsidRPr="008E1B7F">
              <w:rPr>
                <w:rFonts w:ascii="Times New Roman" w:eastAsia="Times New Roman" w:hAnsi="Times New Roman" w:cs="Times New Roman"/>
                <w:b/>
                <w:bCs/>
                <w:color w:val="000000" w:themeColor="text1"/>
                <w:sz w:val="24"/>
                <w:szCs w:val="24"/>
                <w:lang w:val="en-US" w:eastAsia="sv-SE"/>
              </w:rPr>
              <w:t>Intercept</w:t>
            </w:r>
          </w:p>
        </w:tc>
        <w:tc>
          <w:tcPr>
            <w:tcW w:w="848" w:type="dxa"/>
            <w:shd w:val="clear" w:color="auto" w:fill="auto"/>
            <w:vAlign w:val="bottom"/>
          </w:tcPr>
          <w:p w14:paraId="57ABE01A" w14:textId="77777777" w:rsidR="007F5142" w:rsidRPr="008E1B7F" w:rsidRDefault="007F5142" w:rsidP="00127924">
            <w:pPr>
              <w:suppressAutoHyphens w:val="0"/>
              <w:spacing w:after="0" w:line="240" w:lineRule="auto"/>
              <w:rPr>
                <w:rFonts w:ascii="Times New Roman" w:eastAsia="Times New Roman" w:hAnsi="Times New Roman" w:cs="Times New Roman"/>
                <w:b/>
                <w:bCs/>
                <w:i/>
                <w:iCs/>
                <w:color w:val="000000" w:themeColor="text1"/>
                <w:sz w:val="24"/>
                <w:szCs w:val="24"/>
                <w:lang w:val="en-US" w:eastAsia="sv-SE"/>
              </w:rPr>
            </w:pPr>
          </w:p>
        </w:tc>
        <w:tc>
          <w:tcPr>
            <w:tcW w:w="466" w:type="dxa"/>
          </w:tcPr>
          <w:p w14:paraId="7769D765" w14:textId="77777777" w:rsidR="007F5142" w:rsidRPr="008E1B7F" w:rsidRDefault="007F5142" w:rsidP="00127924">
            <w:pPr>
              <w:suppressAutoHyphens w:val="0"/>
              <w:spacing w:after="0" w:line="240" w:lineRule="auto"/>
              <w:rPr>
                <w:rFonts w:ascii="Times New Roman" w:eastAsia="Times New Roman" w:hAnsi="Times New Roman" w:cs="Times New Roman"/>
                <w:b/>
                <w:bCs/>
                <w:i/>
                <w:iCs/>
                <w:color w:val="000000" w:themeColor="text1"/>
                <w:sz w:val="24"/>
                <w:szCs w:val="24"/>
                <w:lang w:val="en-US" w:eastAsia="sv-SE"/>
              </w:rPr>
            </w:pPr>
          </w:p>
        </w:tc>
        <w:tc>
          <w:tcPr>
            <w:tcW w:w="4387" w:type="dxa"/>
            <w:gridSpan w:val="3"/>
            <w:shd w:val="clear" w:color="auto" w:fill="auto"/>
            <w:vAlign w:val="center"/>
          </w:tcPr>
          <w:p w14:paraId="77C13C21" w14:textId="024DA2C3" w:rsidR="007F5142" w:rsidRPr="008E1B7F" w:rsidRDefault="007F5142" w:rsidP="00127924">
            <w:pPr>
              <w:suppressAutoHyphens w:val="0"/>
              <w:spacing w:after="0" w:line="240" w:lineRule="auto"/>
              <w:rPr>
                <w:rFonts w:ascii="Times New Roman" w:eastAsia="Times New Roman" w:hAnsi="Times New Roman" w:cs="Times New Roman"/>
                <w:b/>
                <w:bCs/>
                <w:i/>
                <w:iCs/>
                <w:color w:val="000000" w:themeColor="text1"/>
                <w:sz w:val="24"/>
                <w:szCs w:val="24"/>
                <w:lang w:val="en-US" w:eastAsia="sv-SE"/>
              </w:rPr>
            </w:pPr>
            <w:r w:rsidRPr="008E1B7F">
              <w:rPr>
                <w:rFonts w:ascii="Times New Roman" w:eastAsia="Times New Roman" w:hAnsi="Times New Roman" w:cs="Times New Roman"/>
                <w:b/>
                <w:bCs/>
                <w:i/>
                <w:iCs/>
                <w:color w:val="000000" w:themeColor="text1"/>
                <w:sz w:val="24"/>
                <w:szCs w:val="24"/>
                <w:lang w:val="en-US" w:eastAsia="sv-SE"/>
              </w:rPr>
              <w:t>Statistically Significant Predictors in cursive and bold</w:t>
            </w:r>
          </w:p>
        </w:tc>
        <w:tc>
          <w:tcPr>
            <w:tcW w:w="1265" w:type="dxa"/>
            <w:gridSpan w:val="2"/>
          </w:tcPr>
          <w:p w14:paraId="2D6E7173" w14:textId="77777777" w:rsidR="007F5142" w:rsidRPr="008E1B7F" w:rsidRDefault="007F5142" w:rsidP="00127924">
            <w:pPr>
              <w:suppressAutoHyphens w:val="0"/>
              <w:spacing w:after="0" w:line="240" w:lineRule="auto"/>
              <w:rPr>
                <w:rFonts w:ascii="Times New Roman" w:eastAsia="Times New Roman" w:hAnsi="Times New Roman" w:cs="Times New Roman"/>
                <w:b/>
                <w:bCs/>
                <w:i/>
                <w:iCs/>
                <w:color w:val="000000" w:themeColor="text1"/>
                <w:sz w:val="24"/>
                <w:szCs w:val="24"/>
                <w:lang w:val="en-US" w:eastAsia="sv-SE"/>
              </w:rPr>
            </w:pPr>
          </w:p>
        </w:tc>
      </w:tr>
      <w:tr w:rsidR="007F5142" w:rsidRPr="008E1B7F" w14:paraId="672FBA26" w14:textId="7BDD3972" w:rsidTr="00090E4E">
        <w:trPr>
          <w:trHeight w:val="288"/>
        </w:trPr>
        <w:tc>
          <w:tcPr>
            <w:tcW w:w="466" w:type="dxa"/>
          </w:tcPr>
          <w:p w14:paraId="4B110448" w14:textId="77777777" w:rsidR="007F5142" w:rsidRPr="008E1B7F" w:rsidRDefault="007F5142" w:rsidP="00127924">
            <w:pPr>
              <w:suppressAutoHyphens w:val="0"/>
              <w:spacing w:after="0" w:line="240" w:lineRule="auto"/>
              <w:rPr>
                <w:rFonts w:ascii="Times New Roman" w:eastAsia="Times New Roman" w:hAnsi="Times New Roman" w:cs="Times New Roman"/>
                <w:color w:val="000000" w:themeColor="text1"/>
                <w:sz w:val="24"/>
                <w:szCs w:val="24"/>
                <w:lang w:val="en-US" w:eastAsia="sv-SE"/>
              </w:rPr>
            </w:pPr>
          </w:p>
        </w:tc>
        <w:tc>
          <w:tcPr>
            <w:tcW w:w="6880" w:type="dxa"/>
            <w:gridSpan w:val="6"/>
            <w:shd w:val="clear" w:color="auto" w:fill="auto"/>
          </w:tcPr>
          <w:p w14:paraId="069B7B3F" w14:textId="025D2996" w:rsidR="007F5142" w:rsidRPr="008E1B7F" w:rsidRDefault="007F5142" w:rsidP="00127924">
            <w:pPr>
              <w:suppressAutoHyphens w:val="0"/>
              <w:spacing w:after="0" w:line="240" w:lineRule="auto"/>
              <w:rPr>
                <w:rFonts w:ascii="Times New Roman" w:eastAsia="Times New Roman" w:hAnsi="Times New Roman" w:cs="Times New Roman"/>
                <w:color w:val="000000" w:themeColor="text1"/>
                <w:sz w:val="24"/>
                <w:szCs w:val="24"/>
                <w:lang w:val="en-US" w:eastAsia="sv-SE"/>
              </w:rPr>
            </w:pPr>
          </w:p>
          <w:p w14:paraId="15D3DE28" w14:textId="6688BA59" w:rsidR="007F5142" w:rsidRPr="008E1B7F" w:rsidRDefault="007F5142" w:rsidP="00127924">
            <w:pPr>
              <w:suppressAutoHyphens w:val="0"/>
              <w:spacing w:after="0" w:line="240" w:lineRule="auto"/>
              <w:rPr>
                <w:rFonts w:ascii="Times New Roman" w:eastAsia="Times New Roman" w:hAnsi="Times New Roman" w:cs="Times New Roman"/>
                <w:b/>
                <w:bCs/>
                <w:i/>
                <w:iCs/>
                <w:color w:val="000000" w:themeColor="text1"/>
                <w:sz w:val="24"/>
                <w:szCs w:val="24"/>
                <w:lang w:val="en-US" w:eastAsia="sv-SE"/>
              </w:rPr>
            </w:pPr>
            <w:r w:rsidRPr="008E1B7F">
              <w:rPr>
                <w:rFonts w:ascii="Times New Roman" w:eastAsia="Times New Roman" w:hAnsi="Times New Roman" w:cs="Times New Roman"/>
                <w:b/>
                <w:bCs/>
                <w:i/>
                <w:iCs/>
                <w:color w:val="000000" w:themeColor="text1"/>
                <w:sz w:val="24"/>
                <w:szCs w:val="24"/>
                <w:lang w:val="en-US" w:eastAsia="sv-SE"/>
              </w:rPr>
              <w:t>Eq 1</w:t>
            </w:r>
          </w:p>
        </w:tc>
        <w:tc>
          <w:tcPr>
            <w:tcW w:w="990" w:type="dxa"/>
            <w:shd w:val="clear" w:color="auto" w:fill="auto"/>
          </w:tcPr>
          <w:p w14:paraId="7BFE55D5" w14:textId="024D1341" w:rsidR="007F5142" w:rsidRPr="008E1B7F" w:rsidRDefault="007F5142" w:rsidP="00127924">
            <w:pPr>
              <w:suppressAutoHyphens w:val="0"/>
              <w:spacing w:after="0" w:line="240" w:lineRule="auto"/>
              <w:rPr>
                <w:rFonts w:ascii="Times New Roman" w:eastAsia="Times New Roman" w:hAnsi="Times New Roman" w:cs="Times New Roman"/>
                <w:color w:val="000000" w:themeColor="text1"/>
                <w:sz w:val="24"/>
                <w:szCs w:val="24"/>
                <w:lang w:val="en-US" w:eastAsia="sv-SE"/>
              </w:rPr>
            </w:pPr>
          </w:p>
        </w:tc>
        <w:tc>
          <w:tcPr>
            <w:tcW w:w="1265" w:type="dxa"/>
            <w:gridSpan w:val="2"/>
          </w:tcPr>
          <w:p w14:paraId="70F1C093" w14:textId="77777777" w:rsidR="007F5142" w:rsidRPr="008E1B7F" w:rsidRDefault="007F5142" w:rsidP="00127924">
            <w:pPr>
              <w:suppressAutoHyphens w:val="0"/>
              <w:spacing w:after="0" w:line="240" w:lineRule="auto"/>
              <w:rPr>
                <w:rFonts w:ascii="Times New Roman" w:eastAsia="Times New Roman" w:hAnsi="Times New Roman" w:cs="Times New Roman"/>
                <w:color w:val="000000" w:themeColor="text1"/>
                <w:sz w:val="24"/>
                <w:szCs w:val="24"/>
                <w:lang w:val="en-US" w:eastAsia="sv-SE"/>
              </w:rPr>
            </w:pPr>
          </w:p>
        </w:tc>
      </w:tr>
      <w:tr w:rsidR="007F5142" w:rsidRPr="008E1B7F" w14:paraId="0FB0FA86" w14:textId="0DC2EF48" w:rsidTr="00090E4E">
        <w:trPr>
          <w:trHeight w:val="288"/>
        </w:trPr>
        <w:tc>
          <w:tcPr>
            <w:tcW w:w="466" w:type="dxa"/>
          </w:tcPr>
          <w:p w14:paraId="0E32AB5B" w14:textId="77777777" w:rsidR="007F5142" w:rsidRDefault="007F5142" w:rsidP="00127924">
            <w:pPr>
              <w:suppressAutoHyphens w:val="0"/>
              <w:spacing w:after="0" w:line="240" w:lineRule="auto"/>
              <w:rPr>
                <w:rFonts w:ascii="Times New Roman" w:eastAsia="Times New Roman" w:hAnsi="Times New Roman" w:cs="Times New Roman"/>
                <w:color w:val="000000" w:themeColor="text1"/>
                <w:sz w:val="24"/>
                <w:szCs w:val="24"/>
                <w:lang w:val="en-US" w:eastAsia="sv-SE"/>
              </w:rPr>
            </w:pPr>
          </w:p>
        </w:tc>
        <w:tc>
          <w:tcPr>
            <w:tcW w:w="6880" w:type="dxa"/>
            <w:gridSpan w:val="6"/>
            <w:shd w:val="clear" w:color="auto" w:fill="auto"/>
          </w:tcPr>
          <w:p w14:paraId="146ECD62" w14:textId="63C16AFF" w:rsidR="007F5142" w:rsidRDefault="007F5142" w:rsidP="00127924">
            <w:pPr>
              <w:suppressAutoHyphens w:val="0"/>
              <w:spacing w:after="0" w:line="240" w:lineRule="auto"/>
              <w:rPr>
                <w:rFonts w:ascii="Times New Roman" w:eastAsia="Times New Roman" w:hAnsi="Times New Roman" w:cs="Times New Roman"/>
                <w:color w:val="000000" w:themeColor="text1"/>
                <w:sz w:val="24"/>
                <w:szCs w:val="24"/>
                <w:lang w:val="en-US" w:eastAsia="sv-SE"/>
              </w:rPr>
            </w:pPr>
          </w:p>
          <w:p w14:paraId="2D0521B1" w14:textId="5167D6CE" w:rsidR="007F5142" w:rsidRPr="008E1B7F" w:rsidRDefault="007F5142" w:rsidP="00127924">
            <w:pPr>
              <w:suppressAutoHyphens w:val="0"/>
              <w:spacing w:after="0" w:line="240" w:lineRule="auto"/>
              <w:rPr>
                <w:rFonts w:ascii="Times New Roman" w:eastAsia="Times New Roman" w:hAnsi="Times New Roman" w:cs="Times New Roman"/>
                <w:color w:val="000000" w:themeColor="text1"/>
                <w:sz w:val="24"/>
                <w:szCs w:val="24"/>
                <w:lang w:val="en-US" w:eastAsia="sv-SE"/>
              </w:rPr>
            </w:pPr>
            <w:r w:rsidRPr="008E1B7F">
              <w:rPr>
                <w:rFonts w:ascii="Times New Roman" w:eastAsia="Times New Roman" w:hAnsi="Times New Roman" w:cs="Times New Roman"/>
                <w:color w:val="000000" w:themeColor="text1"/>
                <w:sz w:val="24"/>
                <w:szCs w:val="24"/>
                <w:lang w:val="en-US" w:eastAsia="sv-SE"/>
              </w:rPr>
              <w:t>SOC</w:t>
            </w:r>
            <w:r>
              <w:rPr>
                <w:rFonts w:ascii="Times New Roman" w:eastAsia="Times New Roman" w:hAnsi="Times New Roman" w:cs="Times New Roman"/>
                <w:color w:val="000000" w:themeColor="text1"/>
                <w:sz w:val="24"/>
                <w:szCs w:val="24"/>
                <w:lang w:val="en-US" w:eastAsia="sv-SE"/>
              </w:rPr>
              <w:t xml:space="preserve"> (S2)</w:t>
            </w:r>
            <w:r w:rsidRPr="008E1B7F">
              <w:rPr>
                <w:rFonts w:ascii="Times New Roman" w:eastAsia="Times New Roman" w:hAnsi="Times New Roman" w:cs="Times New Roman"/>
                <w:color w:val="000000" w:themeColor="text1"/>
                <w:sz w:val="24"/>
                <w:szCs w:val="24"/>
                <w:lang w:val="en-US" w:eastAsia="sv-SE"/>
              </w:rPr>
              <w:t xml:space="preserve"> = </w:t>
            </w:r>
            <w:r w:rsidRPr="008E1B7F">
              <w:rPr>
                <w:rFonts w:ascii="Times New Roman" w:eastAsia="Times New Roman" w:hAnsi="Times New Roman" w:cs="Times New Roman"/>
                <w:b/>
                <w:bCs/>
                <w:color w:val="000000" w:themeColor="text1"/>
                <w:sz w:val="24"/>
                <w:szCs w:val="24"/>
                <w:lang w:val="en-US" w:eastAsia="sv-SE"/>
              </w:rPr>
              <w:t xml:space="preserve">0.8512 </w:t>
            </w:r>
            <w:r>
              <w:rPr>
                <w:rFonts w:ascii="Times New Roman" w:eastAsia="Times New Roman" w:hAnsi="Times New Roman" w:cs="Times New Roman"/>
                <w:b/>
                <w:bCs/>
                <w:color w:val="000000" w:themeColor="text1"/>
                <w:sz w:val="24"/>
                <w:szCs w:val="24"/>
                <w:lang w:val="en-US" w:eastAsia="sv-SE"/>
              </w:rPr>
              <w:t>+</w:t>
            </w:r>
            <w:r w:rsidRPr="008E1B7F">
              <w:rPr>
                <w:rFonts w:ascii="Times New Roman" w:eastAsia="Times New Roman" w:hAnsi="Times New Roman" w:cs="Times New Roman"/>
                <w:b/>
                <w:bCs/>
                <w:color w:val="000000" w:themeColor="text1"/>
                <w:sz w:val="24"/>
                <w:szCs w:val="24"/>
                <w:lang w:val="en-US" w:eastAsia="sv-SE"/>
              </w:rPr>
              <w:t xml:space="preserve"> </w:t>
            </w:r>
            <w:r w:rsidRPr="008E1B7F">
              <w:rPr>
                <w:rFonts w:ascii="Times New Roman" w:eastAsia="Times New Roman" w:hAnsi="Times New Roman" w:cs="Times New Roman"/>
                <w:b/>
                <w:bCs/>
                <w:i/>
                <w:iCs/>
                <w:color w:val="000000" w:themeColor="text1"/>
                <w:sz w:val="24"/>
                <w:szCs w:val="24"/>
                <w:lang w:val="en-US" w:eastAsia="sv-SE"/>
              </w:rPr>
              <w:t>0.0575*Ley Frequency + 8.46*N  -0.011*Clay</w:t>
            </w:r>
          </w:p>
        </w:tc>
        <w:tc>
          <w:tcPr>
            <w:tcW w:w="990" w:type="dxa"/>
            <w:shd w:val="clear" w:color="auto" w:fill="auto"/>
          </w:tcPr>
          <w:p w14:paraId="72CC9D24" w14:textId="77777777" w:rsidR="007F5142" w:rsidRPr="004820A3" w:rsidRDefault="007F5142" w:rsidP="00127924">
            <w:pPr>
              <w:suppressAutoHyphens w:val="0"/>
              <w:spacing w:after="0" w:line="240" w:lineRule="auto"/>
              <w:rPr>
                <w:rFonts w:ascii="Times New Roman" w:eastAsia="Times New Roman" w:hAnsi="Times New Roman" w:cs="Times New Roman"/>
                <w:color w:val="000000" w:themeColor="text1"/>
                <w:lang w:val="en-US" w:eastAsia="sv-SE"/>
              </w:rPr>
            </w:pPr>
          </w:p>
          <w:p w14:paraId="38EA4DA1" w14:textId="7681F623" w:rsidR="007F5142" w:rsidRPr="004820A3" w:rsidRDefault="007F5142" w:rsidP="00127924">
            <w:pPr>
              <w:suppressAutoHyphens w:val="0"/>
              <w:spacing w:after="0" w:line="240" w:lineRule="auto"/>
              <w:rPr>
                <w:rFonts w:ascii="Times New Roman" w:eastAsia="Times New Roman" w:hAnsi="Times New Roman" w:cs="Times New Roman"/>
                <w:color w:val="000000" w:themeColor="text1"/>
                <w:lang w:val="en-US" w:eastAsia="sv-SE"/>
              </w:rPr>
            </w:pPr>
            <w:r w:rsidRPr="004820A3">
              <w:rPr>
                <w:rFonts w:ascii="Times New Roman" w:eastAsia="Times New Roman" w:hAnsi="Times New Roman" w:cs="Times New Roman"/>
                <w:color w:val="000000" w:themeColor="text1"/>
                <w:lang w:val="en-US" w:eastAsia="sv-SE"/>
              </w:rPr>
              <w:t>R</w:t>
            </w:r>
            <w:r w:rsidRPr="004820A3">
              <w:rPr>
                <w:rFonts w:ascii="Times New Roman" w:eastAsia="Times New Roman" w:hAnsi="Times New Roman" w:cs="Times New Roman"/>
                <w:color w:val="000000" w:themeColor="text1"/>
                <w:vertAlign w:val="superscript"/>
                <w:lang w:val="en-US" w:eastAsia="sv-SE"/>
              </w:rPr>
              <w:t>2</w:t>
            </w:r>
            <w:r w:rsidRPr="004820A3">
              <w:rPr>
                <w:rFonts w:ascii="Times New Roman" w:eastAsia="Times New Roman" w:hAnsi="Times New Roman" w:cs="Times New Roman"/>
                <w:color w:val="000000" w:themeColor="text1"/>
                <w:lang w:val="en-US" w:eastAsia="sv-SE"/>
              </w:rPr>
              <w:t xml:space="preserve">  0.47</w:t>
            </w:r>
          </w:p>
        </w:tc>
        <w:tc>
          <w:tcPr>
            <w:tcW w:w="1265" w:type="dxa"/>
            <w:gridSpan w:val="2"/>
          </w:tcPr>
          <w:p w14:paraId="509CBC9F" w14:textId="77777777" w:rsidR="007F5142" w:rsidRPr="004820A3" w:rsidRDefault="007F5142" w:rsidP="00127924">
            <w:pPr>
              <w:suppressAutoHyphens w:val="0"/>
              <w:spacing w:after="0" w:line="240" w:lineRule="auto"/>
              <w:rPr>
                <w:rFonts w:ascii="Times New Roman" w:eastAsia="Times New Roman" w:hAnsi="Times New Roman" w:cs="Times New Roman"/>
                <w:color w:val="000000" w:themeColor="text1"/>
                <w:lang w:val="en-US" w:eastAsia="sv-SE"/>
              </w:rPr>
            </w:pPr>
          </w:p>
          <w:p w14:paraId="0A624A57" w14:textId="248655F7" w:rsidR="007F5142" w:rsidRPr="004820A3" w:rsidRDefault="007F5142" w:rsidP="00127924">
            <w:pPr>
              <w:suppressAutoHyphens w:val="0"/>
              <w:spacing w:after="0" w:line="240" w:lineRule="auto"/>
              <w:rPr>
                <w:rFonts w:ascii="Times New Roman" w:eastAsia="Times New Roman" w:hAnsi="Times New Roman" w:cs="Times New Roman"/>
                <w:color w:val="000000" w:themeColor="text1"/>
                <w:lang w:val="en-US" w:eastAsia="sv-SE"/>
              </w:rPr>
            </w:pPr>
            <w:r w:rsidRPr="004820A3">
              <w:rPr>
                <w:rFonts w:ascii="Times New Roman" w:eastAsia="Times New Roman" w:hAnsi="Times New Roman" w:cs="Times New Roman"/>
                <w:color w:val="000000" w:themeColor="text1"/>
                <w:lang w:val="en-US" w:eastAsia="sv-SE"/>
              </w:rPr>
              <w:t>RMSE 0.69</w:t>
            </w:r>
          </w:p>
        </w:tc>
      </w:tr>
      <w:tr w:rsidR="00090E4E" w:rsidRPr="008E1B7F" w14:paraId="1BBB66D9" w14:textId="62EF97E9" w:rsidTr="00090E4E">
        <w:trPr>
          <w:gridAfter w:val="1"/>
          <w:wAfter w:w="447" w:type="dxa"/>
          <w:trHeight w:val="288"/>
        </w:trPr>
        <w:tc>
          <w:tcPr>
            <w:tcW w:w="2634" w:type="dxa"/>
            <w:gridSpan w:val="3"/>
            <w:shd w:val="clear" w:color="auto" w:fill="auto"/>
          </w:tcPr>
          <w:p w14:paraId="44B71FEB" w14:textId="77777777" w:rsidR="00090E4E" w:rsidRDefault="00090E4E" w:rsidP="00127924">
            <w:pPr>
              <w:suppressAutoHyphens w:val="0"/>
              <w:spacing w:after="0" w:line="240" w:lineRule="auto"/>
              <w:rPr>
                <w:rFonts w:ascii="Times New Roman" w:eastAsia="Times New Roman" w:hAnsi="Times New Roman" w:cs="Times New Roman"/>
                <w:b/>
                <w:bCs/>
                <w:color w:val="000000" w:themeColor="text1"/>
                <w:sz w:val="24"/>
                <w:szCs w:val="24"/>
                <w:lang w:val="en-US" w:eastAsia="sv-SE"/>
              </w:rPr>
            </w:pPr>
          </w:p>
          <w:p w14:paraId="1189C2B1" w14:textId="682DEBAC" w:rsidR="00090E4E" w:rsidRPr="008E1B7F" w:rsidRDefault="00090E4E" w:rsidP="00127924">
            <w:pPr>
              <w:suppressAutoHyphens w:val="0"/>
              <w:spacing w:after="0" w:line="240" w:lineRule="auto"/>
              <w:rPr>
                <w:rFonts w:ascii="Times New Roman" w:eastAsia="Times New Roman" w:hAnsi="Times New Roman" w:cs="Times New Roman"/>
                <w:b/>
                <w:bCs/>
                <w:color w:val="000000" w:themeColor="text1"/>
                <w:sz w:val="24"/>
                <w:szCs w:val="24"/>
                <w:lang w:val="en-US" w:eastAsia="sv-SE"/>
              </w:rPr>
            </w:pPr>
            <w:r w:rsidRPr="008E1B7F">
              <w:rPr>
                <w:rFonts w:ascii="Times New Roman" w:eastAsia="Times New Roman" w:hAnsi="Times New Roman" w:cs="Times New Roman"/>
                <w:b/>
                <w:bCs/>
                <w:color w:val="000000" w:themeColor="text1"/>
                <w:sz w:val="24"/>
                <w:szCs w:val="24"/>
                <w:lang w:val="en-US" w:eastAsia="sv-SE"/>
              </w:rPr>
              <w:t xml:space="preserve">SOC </w:t>
            </w:r>
          </w:p>
          <w:p w14:paraId="6CFECDC6" w14:textId="77777777" w:rsidR="00090E4E" w:rsidRPr="008E1B7F" w:rsidRDefault="00090E4E" w:rsidP="00127924">
            <w:pPr>
              <w:suppressAutoHyphens w:val="0"/>
              <w:spacing w:after="0" w:line="240" w:lineRule="auto"/>
              <w:rPr>
                <w:rFonts w:ascii="Times New Roman" w:eastAsia="Times New Roman" w:hAnsi="Times New Roman" w:cs="Times New Roman"/>
                <w:b/>
                <w:bCs/>
                <w:color w:val="000000" w:themeColor="text1"/>
                <w:sz w:val="24"/>
                <w:szCs w:val="24"/>
                <w:lang w:val="en-US" w:eastAsia="sv-SE"/>
              </w:rPr>
            </w:pPr>
            <w:r w:rsidRPr="008E1B7F">
              <w:rPr>
                <w:rFonts w:ascii="Times New Roman" w:eastAsia="Times New Roman" w:hAnsi="Times New Roman" w:cs="Times New Roman"/>
                <w:b/>
                <w:bCs/>
                <w:color w:val="000000" w:themeColor="text1"/>
                <w:sz w:val="24"/>
                <w:szCs w:val="24"/>
                <w:lang w:val="en-US" w:eastAsia="sv-SE"/>
              </w:rPr>
              <w:t>Regression statistics</w:t>
            </w:r>
          </w:p>
        </w:tc>
        <w:tc>
          <w:tcPr>
            <w:tcW w:w="848" w:type="dxa"/>
            <w:shd w:val="clear" w:color="auto" w:fill="auto"/>
          </w:tcPr>
          <w:p w14:paraId="06291E18" w14:textId="77777777" w:rsidR="00090E4E" w:rsidRPr="008E1B7F" w:rsidRDefault="00090E4E" w:rsidP="00127924">
            <w:pPr>
              <w:suppressAutoHyphens w:val="0"/>
              <w:spacing w:after="0" w:line="240" w:lineRule="auto"/>
              <w:rPr>
                <w:rFonts w:ascii="Times New Roman" w:eastAsia="Times New Roman" w:hAnsi="Times New Roman" w:cs="Times New Roman"/>
                <w:b/>
                <w:bCs/>
                <w:color w:val="000000" w:themeColor="text1"/>
                <w:sz w:val="24"/>
                <w:szCs w:val="24"/>
                <w:lang w:val="en-US" w:eastAsia="sv-SE"/>
              </w:rPr>
            </w:pPr>
          </w:p>
        </w:tc>
        <w:tc>
          <w:tcPr>
            <w:tcW w:w="2548" w:type="dxa"/>
            <w:gridSpan w:val="2"/>
            <w:shd w:val="clear" w:color="auto" w:fill="auto"/>
            <w:vAlign w:val="center"/>
          </w:tcPr>
          <w:p w14:paraId="42A90B74" w14:textId="77777777" w:rsidR="00090E4E" w:rsidRDefault="00090E4E" w:rsidP="00127924">
            <w:pPr>
              <w:suppressAutoHyphens w:val="0"/>
              <w:spacing w:after="0" w:line="240" w:lineRule="auto"/>
              <w:rPr>
                <w:rFonts w:ascii="Times New Roman" w:eastAsia="Times New Roman" w:hAnsi="Times New Roman" w:cs="Times New Roman"/>
                <w:b/>
                <w:bCs/>
                <w:color w:val="000000" w:themeColor="text1"/>
                <w:sz w:val="24"/>
                <w:szCs w:val="24"/>
                <w:lang w:val="en-US" w:eastAsia="sv-SE"/>
              </w:rPr>
            </w:pPr>
          </w:p>
          <w:p w14:paraId="4C552F02" w14:textId="77777777" w:rsidR="00113C6B" w:rsidRDefault="00113C6B" w:rsidP="00127924">
            <w:pPr>
              <w:suppressAutoHyphens w:val="0"/>
              <w:spacing w:after="0" w:line="240" w:lineRule="auto"/>
              <w:rPr>
                <w:rFonts w:ascii="Times New Roman" w:eastAsia="Times New Roman" w:hAnsi="Times New Roman" w:cs="Times New Roman"/>
                <w:b/>
                <w:bCs/>
                <w:color w:val="000000" w:themeColor="text1"/>
                <w:sz w:val="24"/>
                <w:szCs w:val="24"/>
                <w:lang w:val="en-US" w:eastAsia="sv-SE"/>
              </w:rPr>
            </w:pPr>
          </w:p>
          <w:p w14:paraId="18EB7385" w14:textId="67E923DA" w:rsidR="00113C6B" w:rsidRPr="008E1B7F" w:rsidRDefault="00113C6B" w:rsidP="00127924">
            <w:pPr>
              <w:suppressAutoHyphens w:val="0"/>
              <w:spacing w:after="0" w:line="240" w:lineRule="auto"/>
              <w:rPr>
                <w:rFonts w:ascii="Times New Roman" w:eastAsia="Times New Roman" w:hAnsi="Times New Roman" w:cs="Times New Roman"/>
                <w:b/>
                <w:bCs/>
                <w:color w:val="000000" w:themeColor="text1"/>
                <w:sz w:val="24"/>
                <w:szCs w:val="24"/>
                <w:lang w:val="en-US" w:eastAsia="sv-SE"/>
              </w:rPr>
            </w:pPr>
            <w:r>
              <w:rPr>
                <w:rFonts w:ascii="Times New Roman" w:eastAsia="Times New Roman" w:hAnsi="Times New Roman" w:cs="Times New Roman"/>
                <w:b/>
                <w:bCs/>
                <w:color w:val="000000" w:themeColor="text1"/>
                <w:sz w:val="24"/>
                <w:szCs w:val="24"/>
                <w:lang w:val="en-US" w:eastAsia="sv-SE"/>
              </w:rPr>
              <w:t>VIF</w:t>
            </w:r>
          </w:p>
        </w:tc>
        <w:tc>
          <w:tcPr>
            <w:tcW w:w="3124" w:type="dxa"/>
            <w:gridSpan w:val="3"/>
          </w:tcPr>
          <w:p w14:paraId="08A089C7" w14:textId="77777777" w:rsidR="00090E4E" w:rsidRPr="00113C6B" w:rsidRDefault="00090E4E" w:rsidP="00127924">
            <w:pPr>
              <w:suppressAutoHyphens w:val="0"/>
              <w:spacing w:after="0" w:line="240" w:lineRule="auto"/>
              <w:rPr>
                <w:rFonts w:ascii="Times New Roman" w:eastAsia="Times New Roman" w:hAnsi="Times New Roman" w:cs="Times New Roman"/>
                <w:b/>
                <w:bCs/>
                <w:color w:val="000000" w:themeColor="text1"/>
                <w:sz w:val="24"/>
                <w:szCs w:val="24"/>
                <w:lang w:val="en-US" w:eastAsia="sv-SE"/>
              </w:rPr>
            </w:pPr>
          </w:p>
          <w:p w14:paraId="4DC17FC3" w14:textId="77777777" w:rsidR="00090E4E" w:rsidRPr="00113C6B" w:rsidRDefault="00090E4E" w:rsidP="00127924">
            <w:pPr>
              <w:suppressAutoHyphens w:val="0"/>
              <w:spacing w:after="0" w:line="240" w:lineRule="auto"/>
              <w:rPr>
                <w:rFonts w:ascii="Times New Roman" w:eastAsia="Times New Roman" w:hAnsi="Times New Roman" w:cs="Times New Roman"/>
                <w:b/>
                <w:bCs/>
                <w:color w:val="000000" w:themeColor="text1"/>
                <w:sz w:val="24"/>
                <w:szCs w:val="24"/>
                <w:lang w:val="en-US" w:eastAsia="sv-SE"/>
              </w:rPr>
            </w:pPr>
          </w:p>
          <w:p w14:paraId="256448CF" w14:textId="45E362F2" w:rsidR="00090E4E" w:rsidRPr="00113C6B" w:rsidRDefault="00090E4E" w:rsidP="00127924">
            <w:pPr>
              <w:suppressAutoHyphens w:val="0"/>
              <w:spacing w:after="0" w:line="240" w:lineRule="auto"/>
              <w:rPr>
                <w:rFonts w:ascii="Times New Roman" w:eastAsia="Times New Roman" w:hAnsi="Times New Roman" w:cs="Times New Roman"/>
                <w:b/>
                <w:bCs/>
                <w:color w:val="000000" w:themeColor="text1"/>
                <w:sz w:val="24"/>
                <w:szCs w:val="24"/>
                <w:lang w:val="en-US" w:eastAsia="sv-SE"/>
              </w:rPr>
            </w:pPr>
            <w:r w:rsidRPr="00113C6B">
              <w:rPr>
                <w:rFonts w:ascii="Times New Roman" w:eastAsia="Times New Roman" w:hAnsi="Times New Roman" w:cs="Times New Roman"/>
                <w:b/>
                <w:bCs/>
                <w:color w:val="000000" w:themeColor="text1"/>
                <w:sz w:val="24"/>
                <w:szCs w:val="24"/>
                <w:lang w:val="en-US" w:eastAsia="sv-SE"/>
              </w:rPr>
              <w:t xml:space="preserve">Shapiro Wilks </w:t>
            </w:r>
          </w:p>
        </w:tc>
      </w:tr>
      <w:tr w:rsidR="00090E4E" w:rsidRPr="008E1B7F" w14:paraId="416F5A04" w14:textId="77777777" w:rsidTr="00090E4E">
        <w:trPr>
          <w:gridAfter w:val="1"/>
          <w:wAfter w:w="447" w:type="dxa"/>
          <w:trHeight w:val="96"/>
        </w:trPr>
        <w:tc>
          <w:tcPr>
            <w:tcW w:w="1219" w:type="dxa"/>
            <w:gridSpan w:val="2"/>
            <w:shd w:val="clear" w:color="auto" w:fill="auto"/>
            <w:vAlign w:val="center"/>
          </w:tcPr>
          <w:p w14:paraId="7F6548C7" w14:textId="6B0D3CB2" w:rsidR="00090E4E" w:rsidRPr="008E1B7F" w:rsidRDefault="00090E4E" w:rsidP="00127924">
            <w:pPr>
              <w:suppressAutoHyphens w:val="0"/>
              <w:spacing w:after="0" w:line="240" w:lineRule="auto"/>
              <w:rPr>
                <w:rFonts w:ascii="Times New Roman" w:eastAsia="Times New Roman" w:hAnsi="Times New Roman" w:cs="Times New Roman"/>
                <w:color w:val="000000" w:themeColor="text1"/>
                <w:sz w:val="24"/>
                <w:szCs w:val="24"/>
                <w:lang w:val="en-US" w:eastAsia="sv-SE"/>
              </w:rPr>
            </w:pPr>
            <w:r w:rsidRPr="008E1B7F">
              <w:rPr>
                <w:rFonts w:ascii="Times New Roman" w:eastAsia="Times New Roman" w:hAnsi="Times New Roman" w:cs="Times New Roman"/>
                <w:color w:val="000000" w:themeColor="text1"/>
                <w:sz w:val="24"/>
                <w:szCs w:val="24"/>
                <w:lang w:val="en-US" w:eastAsia="sv-SE"/>
              </w:rPr>
              <w:t>R^2: 0.47</w:t>
            </w:r>
          </w:p>
        </w:tc>
        <w:tc>
          <w:tcPr>
            <w:tcW w:w="1415" w:type="dxa"/>
            <w:shd w:val="clear" w:color="auto" w:fill="auto"/>
            <w:vAlign w:val="center"/>
          </w:tcPr>
          <w:p w14:paraId="6BA5F21A" w14:textId="77777777" w:rsidR="00090E4E" w:rsidRPr="008E1B7F" w:rsidRDefault="00090E4E" w:rsidP="00127924">
            <w:pPr>
              <w:suppressAutoHyphens w:val="0"/>
              <w:spacing w:after="0" w:line="240" w:lineRule="auto"/>
              <w:rPr>
                <w:rFonts w:ascii="Times New Roman" w:eastAsia="Times New Roman" w:hAnsi="Times New Roman" w:cs="Times New Roman"/>
                <w:color w:val="000000" w:themeColor="text1"/>
                <w:sz w:val="24"/>
                <w:szCs w:val="24"/>
                <w:lang w:val="en-US" w:eastAsia="sv-SE"/>
              </w:rPr>
            </w:pPr>
          </w:p>
        </w:tc>
        <w:tc>
          <w:tcPr>
            <w:tcW w:w="848" w:type="dxa"/>
            <w:shd w:val="clear" w:color="auto" w:fill="auto"/>
            <w:vAlign w:val="center"/>
          </w:tcPr>
          <w:p w14:paraId="5845BA5E" w14:textId="77777777" w:rsidR="00090E4E" w:rsidRPr="008E1B7F" w:rsidRDefault="00090E4E" w:rsidP="00127924">
            <w:pPr>
              <w:suppressAutoHyphens w:val="0"/>
              <w:spacing w:after="0" w:line="240" w:lineRule="auto"/>
              <w:rPr>
                <w:rFonts w:ascii="Times New Roman" w:eastAsia="Times New Roman" w:hAnsi="Times New Roman" w:cs="Times New Roman"/>
                <w:color w:val="000000" w:themeColor="text1"/>
                <w:sz w:val="24"/>
                <w:szCs w:val="24"/>
                <w:lang w:val="en-US" w:eastAsia="sv-SE"/>
              </w:rPr>
            </w:pPr>
          </w:p>
        </w:tc>
        <w:tc>
          <w:tcPr>
            <w:tcW w:w="2548" w:type="dxa"/>
            <w:gridSpan w:val="2"/>
            <w:shd w:val="clear" w:color="auto" w:fill="auto"/>
            <w:vAlign w:val="center"/>
          </w:tcPr>
          <w:p w14:paraId="587DB79F" w14:textId="523983C4" w:rsidR="00090E4E" w:rsidRPr="008E1B7F" w:rsidRDefault="00090E4E" w:rsidP="00127924">
            <w:pPr>
              <w:suppressAutoHyphens w:val="0"/>
              <w:spacing w:after="0" w:line="240" w:lineRule="auto"/>
              <w:rPr>
                <w:rFonts w:ascii="Times New Roman" w:eastAsia="Times New Roman" w:hAnsi="Times New Roman" w:cs="Times New Roman"/>
                <w:color w:val="000000" w:themeColor="text1"/>
                <w:sz w:val="24"/>
                <w:szCs w:val="24"/>
                <w:lang w:val="en-US" w:eastAsia="sv-SE"/>
              </w:rPr>
            </w:pPr>
            <w:r w:rsidRPr="008E1B7F">
              <w:rPr>
                <w:rFonts w:ascii="Times New Roman" w:eastAsia="Times New Roman" w:hAnsi="Times New Roman" w:cs="Times New Roman"/>
                <w:color w:val="000000" w:themeColor="text1"/>
                <w:sz w:val="24"/>
                <w:szCs w:val="24"/>
                <w:lang w:val="en-US" w:eastAsia="sv-SE"/>
              </w:rPr>
              <w:t>Ley Frequency = 1.61</w:t>
            </w:r>
          </w:p>
        </w:tc>
        <w:tc>
          <w:tcPr>
            <w:tcW w:w="3124" w:type="dxa"/>
            <w:gridSpan w:val="3"/>
          </w:tcPr>
          <w:p w14:paraId="3479CD8B" w14:textId="540114B7" w:rsidR="00090E4E" w:rsidRPr="008E1B7F" w:rsidRDefault="00CA4421" w:rsidP="00127924">
            <w:pPr>
              <w:suppressAutoHyphens w:val="0"/>
              <w:spacing w:after="0" w:line="240" w:lineRule="auto"/>
              <w:rPr>
                <w:rFonts w:ascii="Times New Roman" w:eastAsia="Times New Roman" w:hAnsi="Times New Roman" w:cs="Times New Roman"/>
                <w:color w:val="000000" w:themeColor="text1"/>
                <w:sz w:val="24"/>
                <w:szCs w:val="24"/>
                <w:lang w:val="en-US" w:eastAsia="sv-SE"/>
              </w:rPr>
            </w:pPr>
            <w:r>
              <w:rPr>
                <w:rFonts w:ascii="Times New Roman" w:eastAsia="Times New Roman" w:hAnsi="Times New Roman" w:cs="Times New Roman"/>
                <w:color w:val="000000" w:themeColor="text1"/>
                <w:sz w:val="24"/>
                <w:szCs w:val="24"/>
                <w:lang w:val="en-US" w:eastAsia="sv-SE"/>
              </w:rPr>
              <w:t>Statistic = 0.</w:t>
            </w:r>
            <w:r w:rsidR="003A6579">
              <w:rPr>
                <w:rFonts w:ascii="Times New Roman" w:eastAsia="Times New Roman" w:hAnsi="Times New Roman" w:cs="Times New Roman"/>
                <w:color w:val="000000" w:themeColor="text1"/>
                <w:sz w:val="24"/>
                <w:szCs w:val="24"/>
                <w:lang w:val="en-US" w:eastAsia="sv-SE"/>
              </w:rPr>
              <w:t>94</w:t>
            </w:r>
          </w:p>
        </w:tc>
      </w:tr>
      <w:tr w:rsidR="00090E4E" w:rsidRPr="008E1B7F" w14:paraId="585D99C3" w14:textId="2196E49C" w:rsidTr="00090E4E">
        <w:trPr>
          <w:gridAfter w:val="1"/>
          <w:wAfter w:w="447" w:type="dxa"/>
          <w:trHeight w:val="288"/>
        </w:trPr>
        <w:tc>
          <w:tcPr>
            <w:tcW w:w="2634" w:type="dxa"/>
            <w:gridSpan w:val="3"/>
            <w:shd w:val="clear" w:color="auto" w:fill="auto"/>
            <w:vAlign w:val="center"/>
          </w:tcPr>
          <w:p w14:paraId="67DD2A29" w14:textId="5ED71F95" w:rsidR="00090E4E" w:rsidRPr="008E1B7F" w:rsidRDefault="00090E4E" w:rsidP="00127924">
            <w:pPr>
              <w:suppressAutoHyphens w:val="0"/>
              <w:spacing w:after="0" w:line="240" w:lineRule="auto"/>
              <w:rPr>
                <w:rFonts w:ascii="Times New Roman" w:eastAsia="Times New Roman" w:hAnsi="Times New Roman" w:cs="Times New Roman"/>
                <w:color w:val="000000" w:themeColor="text1"/>
                <w:sz w:val="24"/>
                <w:szCs w:val="24"/>
                <w:lang w:val="en-US" w:eastAsia="sv-SE"/>
              </w:rPr>
            </w:pPr>
            <w:r w:rsidRPr="008E1B7F">
              <w:rPr>
                <w:rFonts w:ascii="Times New Roman" w:eastAsia="Times New Roman" w:hAnsi="Times New Roman" w:cs="Times New Roman"/>
                <w:color w:val="000000" w:themeColor="text1"/>
                <w:sz w:val="24"/>
                <w:szCs w:val="24"/>
                <w:lang w:val="en-US" w:eastAsia="sv-SE"/>
              </w:rPr>
              <w:t>F-statistic: 506.79</w:t>
            </w:r>
          </w:p>
        </w:tc>
        <w:tc>
          <w:tcPr>
            <w:tcW w:w="848" w:type="dxa"/>
            <w:shd w:val="clear" w:color="auto" w:fill="auto"/>
            <w:vAlign w:val="center"/>
          </w:tcPr>
          <w:p w14:paraId="2AA75783" w14:textId="77777777" w:rsidR="00090E4E" w:rsidRPr="008E1B7F" w:rsidRDefault="00090E4E" w:rsidP="00127924">
            <w:pPr>
              <w:suppressAutoHyphens w:val="0"/>
              <w:spacing w:after="0" w:line="240" w:lineRule="auto"/>
              <w:rPr>
                <w:rFonts w:ascii="Times New Roman" w:eastAsia="Times New Roman" w:hAnsi="Times New Roman" w:cs="Times New Roman"/>
                <w:color w:val="000000" w:themeColor="text1"/>
                <w:sz w:val="24"/>
                <w:szCs w:val="24"/>
                <w:lang w:val="en-US" w:eastAsia="sv-SE"/>
              </w:rPr>
            </w:pPr>
          </w:p>
        </w:tc>
        <w:tc>
          <w:tcPr>
            <w:tcW w:w="2548" w:type="dxa"/>
            <w:gridSpan w:val="2"/>
            <w:shd w:val="clear" w:color="auto" w:fill="auto"/>
            <w:vAlign w:val="center"/>
          </w:tcPr>
          <w:p w14:paraId="326E6C3B" w14:textId="47C4ABD8" w:rsidR="00090E4E" w:rsidRPr="008E1B7F" w:rsidRDefault="00090E4E" w:rsidP="00127924">
            <w:pPr>
              <w:suppressAutoHyphens w:val="0"/>
              <w:spacing w:after="0" w:line="240" w:lineRule="auto"/>
              <w:rPr>
                <w:rFonts w:ascii="Times New Roman" w:eastAsia="Times New Roman" w:hAnsi="Times New Roman" w:cs="Times New Roman"/>
                <w:color w:val="000000" w:themeColor="text1"/>
                <w:sz w:val="24"/>
                <w:szCs w:val="24"/>
                <w:lang w:val="en-US" w:eastAsia="sv-SE"/>
              </w:rPr>
            </w:pPr>
            <w:r w:rsidRPr="008E1B7F">
              <w:rPr>
                <w:rFonts w:ascii="Times New Roman" w:eastAsia="Times New Roman" w:hAnsi="Times New Roman" w:cs="Times New Roman"/>
                <w:color w:val="000000" w:themeColor="text1"/>
                <w:sz w:val="24"/>
                <w:szCs w:val="24"/>
                <w:lang w:val="en-US" w:eastAsia="sv-SE"/>
              </w:rPr>
              <w:t>Nitrogen = 3.86</w:t>
            </w:r>
          </w:p>
        </w:tc>
        <w:tc>
          <w:tcPr>
            <w:tcW w:w="3124" w:type="dxa"/>
            <w:gridSpan w:val="3"/>
          </w:tcPr>
          <w:p w14:paraId="50240FD6" w14:textId="7DAA6C9C" w:rsidR="00090E4E" w:rsidRPr="008E1B7F" w:rsidRDefault="003A6579" w:rsidP="00127924">
            <w:pPr>
              <w:suppressAutoHyphens w:val="0"/>
              <w:spacing w:after="0" w:line="240" w:lineRule="auto"/>
              <w:rPr>
                <w:rFonts w:ascii="Times New Roman" w:eastAsia="Times New Roman" w:hAnsi="Times New Roman" w:cs="Times New Roman"/>
                <w:color w:val="000000" w:themeColor="text1"/>
                <w:sz w:val="24"/>
                <w:szCs w:val="24"/>
                <w:lang w:val="en-US" w:eastAsia="sv-SE"/>
              </w:rPr>
            </w:pPr>
            <w:r>
              <w:rPr>
                <w:rFonts w:ascii="Times New Roman" w:eastAsia="Times New Roman" w:hAnsi="Times New Roman" w:cs="Times New Roman"/>
                <w:color w:val="000000" w:themeColor="text1"/>
                <w:sz w:val="24"/>
                <w:szCs w:val="24"/>
                <w:lang w:val="en-US" w:eastAsia="sv-SE"/>
              </w:rPr>
              <w:t xml:space="preserve">p-value = 0.00 </w:t>
            </w:r>
          </w:p>
        </w:tc>
      </w:tr>
      <w:tr w:rsidR="00090E4E" w:rsidRPr="008E1B7F" w14:paraId="747ADBAC" w14:textId="02A9A9EA" w:rsidTr="00090E4E">
        <w:trPr>
          <w:gridAfter w:val="1"/>
          <w:wAfter w:w="447" w:type="dxa"/>
          <w:trHeight w:val="288"/>
        </w:trPr>
        <w:tc>
          <w:tcPr>
            <w:tcW w:w="3483" w:type="dxa"/>
            <w:gridSpan w:val="4"/>
            <w:shd w:val="clear" w:color="auto" w:fill="auto"/>
            <w:vAlign w:val="center"/>
          </w:tcPr>
          <w:p w14:paraId="19E0B0D3" w14:textId="5EA8D360" w:rsidR="00090E4E" w:rsidRPr="008E1B7F" w:rsidRDefault="00090E4E" w:rsidP="00127924">
            <w:pPr>
              <w:suppressAutoHyphens w:val="0"/>
              <w:spacing w:after="0" w:line="240" w:lineRule="auto"/>
              <w:rPr>
                <w:rFonts w:ascii="Times New Roman" w:eastAsia="Times New Roman" w:hAnsi="Times New Roman" w:cs="Times New Roman"/>
                <w:color w:val="000000" w:themeColor="text1"/>
                <w:sz w:val="24"/>
                <w:szCs w:val="24"/>
                <w:lang w:val="en-US" w:eastAsia="sv-SE"/>
              </w:rPr>
            </w:pPr>
            <w:r w:rsidRPr="008E1B7F">
              <w:rPr>
                <w:rFonts w:ascii="Times New Roman" w:eastAsia="Times New Roman" w:hAnsi="Times New Roman" w:cs="Times New Roman"/>
                <w:color w:val="000000" w:themeColor="text1"/>
                <w:sz w:val="24"/>
                <w:szCs w:val="24"/>
                <w:lang w:val="en-US" w:eastAsia="sv-SE"/>
              </w:rPr>
              <w:t>Degrees of Freedom: 3.0, 1607</w:t>
            </w:r>
          </w:p>
        </w:tc>
        <w:tc>
          <w:tcPr>
            <w:tcW w:w="2548" w:type="dxa"/>
            <w:gridSpan w:val="2"/>
            <w:shd w:val="clear" w:color="auto" w:fill="auto"/>
            <w:vAlign w:val="center"/>
          </w:tcPr>
          <w:p w14:paraId="699AD8C5" w14:textId="3F3DCE6D" w:rsidR="00090E4E" w:rsidRPr="008E1B7F" w:rsidRDefault="00090E4E" w:rsidP="00127924">
            <w:pPr>
              <w:suppressAutoHyphens w:val="0"/>
              <w:spacing w:after="0" w:line="240" w:lineRule="auto"/>
              <w:rPr>
                <w:rFonts w:ascii="Times New Roman" w:eastAsia="Times New Roman" w:hAnsi="Times New Roman" w:cs="Times New Roman"/>
                <w:color w:val="000000" w:themeColor="text1"/>
                <w:sz w:val="24"/>
                <w:szCs w:val="24"/>
                <w:lang w:val="en-US" w:eastAsia="sv-SE"/>
              </w:rPr>
            </w:pPr>
            <w:r w:rsidRPr="008E1B7F">
              <w:rPr>
                <w:rFonts w:ascii="Times New Roman" w:eastAsia="Times New Roman" w:hAnsi="Times New Roman" w:cs="Times New Roman"/>
                <w:color w:val="000000" w:themeColor="text1"/>
                <w:sz w:val="24"/>
                <w:szCs w:val="24"/>
                <w:lang w:val="en-US" w:eastAsia="sv-SE"/>
              </w:rPr>
              <w:t>Clay = 3.37</w:t>
            </w:r>
          </w:p>
        </w:tc>
        <w:tc>
          <w:tcPr>
            <w:tcW w:w="3123" w:type="dxa"/>
            <w:gridSpan w:val="3"/>
          </w:tcPr>
          <w:p w14:paraId="0A45DDC5" w14:textId="77777777" w:rsidR="00090E4E" w:rsidRPr="008E1B7F" w:rsidRDefault="00090E4E" w:rsidP="00127924">
            <w:pPr>
              <w:suppressAutoHyphens w:val="0"/>
              <w:spacing w:after="0" w:line="240" w:lineRule="auto"/>
              <w:rPr>
                <w:rFonts w:ascii="Times New Roman" w:eastAsia="Times New Roman" w:hAnsi="Times New Roman" w:cs="Times New Roman"/>
                <w:color w:val="000000" w:themeColor="text1"/>
                <w:sz w:val="24"/>
                <w:szCs w:val="24"/>
                <w:lang w:val="en-US" w:eastAsia="sv-SE"/>
              </w:rPr>
            </w:pPr>
          </w:p>
        </w:tc>
      </w:tr>
      <w:tr w:rsidR="00090E4E" w:rsidRPr="008E1B7F" w14:paraId="37F7E776" w14:textId="52AC785F" w:rsidTr="00090E4E">
        <w:trPr>
          <w:gridAfter w:val="1"/>
          <w:wAfter w:w="447" w:type="dxa"/>
          <w:trHeight w:val="288"/>
        </w:trPr>
        <w:tc>
          <w:tcPr>
            <w:tcW w:w="2634" w:type="dxa"/>
            <w:gridSpan w:val="3"/>
            <w:shd w:val="clear" w:color="auto" w:fill="auto"/>
            <w:vAlign w:val="center"/>
          </w:tcPr>
          <w:p w14:paraId="284A5B15" w14:textId="77777777" w:rsidR="00090E4E" w:rsidRPr="008E1B7F" w:rsidRDefault="00090E4E" w:rsidP="00127924">
            <w:pPr>
              <w:suppressAutoHyphens w:val="0"/>
              <w:spacing w:after="0" w:line="240" w:lineRule="auto"/>
              <w:rPr>
                <w:rFonts w:ascii="Times New Roman" w:eastAsia="Times New Roman" w:hAnsi="Times New Roman" w:cs="Times New Roman"/>
                <w:color w:val="000000" w:themeColor="text1"/>
                <w:sz w:val="24"/>
                <w:szCs w:val="24"/>
                <w:lang w:val="en-US" w:eastAsia="sv-SE"/>
              </w:rPr>
            </w:pPr>
            <w:r w:rsidRPr="008E1B7F">
              <w:rPr>
                <w:rFonts w:ascii="Times New Roman" w:eastAsia="Times New Roman" w:hAnsi="Times New Roman" w:cs="Times New Roman"/>
                <w:color w:val="000000" w:themeColor="text1"/>
                <w:sz w:val="24"/>
                <w:szCs w:val="24"/>
                <w:lang w:val="en-US" w:eastAsia="sv-SE"/>
              </w:rPr>
              <w:t>p-value (F-statistic): 0.0000</w:t>
            </w:r>
          </w:p>
        </w:tc>
        <w:tc>
          <w:tcPr>
            <w:tcW w:w="848" w:type="dxa"/>
            <w:shd w:val="clear" w:color="auto" w:fill="auto"/>
            <w:vAlign w:val="center"/>
          </w:tcPr>
          <w:p w14:paraId="4795095F" w14:textId="77777777" w:rsidR="00090E4E" w:rsidRPr="008E1B7F" w:rsidRDefault="00090E4E" w:rsidP="00127924">
            <w:pPr>
              <w:suppressAutoHyphens w:val="0"/>
              <w:spacing w:after="0" w:line="240" w:lineRule="auto"/>
              <w:rPr>
                <w:rFonts w:ascii="Times New Roman" w:eastAsia="Times New Roman" w:hAnsi="Times New Roman" w:cs="Times New Roman"/>
                <w:color w:val="000000" w:themeColor="text1"/>
                <w:sz w:val="24"/>
                <w:szCs w:val="24"/>
                <w:lang w:val="en-US" w:eastAsia="sv-SE"/>
              </w:rPr>
            </w:pPr>
          </w:p>
        </w:tc>
        <w:tc>
          <w:tcPr>
            <w:tcW w:w="2548" w:type="dxa"/>
            <w:gridSpan w:val="2"/>
            <w:shd w:val="clear" w:color="auto" w:fill="auto"/>
            <w:vAlign w:val="center"/>
          </w:tcPr>
          <w:p w14:paraId="121E3194" w14:textId="77777777" w:rsidR="00090E4E" w:rsidRPr="008E1B7F" w:rsidRDefault="00090E4E" w:rsidP="00127924">
            <w:pPr>
              <w:suppressAutoHyphens w:val="0"/>
              <w:spacing w:after="0" w:line="240" w:lineRule="auto"/>
              <w:rPr>
                <w:rFonts w:ascii="Times New Roman" w:eastAsia="Times New Roman" w:hAnsi="Times New Roman" w:cs="Times New Roman"/>
                <w:color w:val="000000" w:themeColor="text1"/>
                <w:sz w:val="24"/>
                <w:szCs w:val="24"/>
                <w:lang w:val="en-US" w:eastAsia="sv-SE"/>
              </w:rPr>
            </w:pPr>
          </w:p>
        </w:tc>
        <w:tc>
          <w:tcPr>
            <w:tcW w:w="3124" w:type="dxa"/>
            <w:gridSpan w:val="3"/>
          </w:tcPr>
          <w:p w14:paraId="3932B205" w14:textId="77777777" w:rsidR="00090E4E" w:rsidRPr="008E1B7F" w:rsidRDefault="00090E4E" w:rsidP="00127924">
            <w:pPr>
              <w:suppressAutoHyphens w:val="0"/>
              <w:spacing w:after="0" w:line="240" w:lineRule="auto"/>
              <w:rPr>
                <w:rFonts w:ascii="Times New Roman" w:eastAsia="Times New Roman" w:hAnsi="Times New Roman" w:cs="Times New Roman"/>
                <w:color w:val="000000" w:themeColor="text1"/>
                <w:sz w:val="24"/>
                <w:szCs w:val="24"/>
                <w:lang w:val="en-US" w:eastAsia="sv-SE"/>
              </w:rPr>
            </w:pPr>
          </w:p>
        </w:tc>
      </w:tr>
    </w:tbl>
    <w:p w14:paraId="3C77767B" w14:textId="77777777" w:rsidR="00022ADC" w:rsidRDefault="00022ADC" w:rsidP="00022ADC">
      <w:pPr>
        <w:suppressAutoHyphens w:val="0"/>
        <w:rPr>
          <w:rFonts w:ascii="Times New Roman" w:hAnsi="Times New Roman" w:cs="Times New Roman"/>
          <w:color w:val="000000" w:themeColor="text1"/>
          <w:lang w:val="en-US"/>
        </w:rPr>
      </w:pPr>
    </w:p>
    <w:p w14:paraId="129F9DFF" w14:textId="4051CE8A" w:rsidR="000A708A" w:rsidRDefault="000A708A" w:rsidP="005A389D">
      <w:pPr>
        <w:suppressAutoHyphens w:val="0"/>
        <w:spacing w:after="0" w:line="240" w:lineRule="auto"/>
        <w:rPr>
          <w:rFonts w:cs="Times New Roman"/>
          <w:lang w:val="en-US"/>
        </w:rPr>
      </w:pPr>
    </w:p>
    <w:p w14:paraId="05650B78" w14:textId="77777777" w:rsidR="00E3740F" w:rsidRPr="00206D86" w:rsidRDefault="000A708A" w:rsidP="00E3740F">
      <w:pPr>
        <w:keepNext/>
        <w:suppressAutoHyphens w:val="0"/>
        <w:spacing w:after="0" w:line="240" w:lineRule="auto"/>
        <w:rPr>
          <w:color w:val="000000" w:themeColor="text1"/>
        </w:rPr>
      </w:pPr>
      <w:r w:rsidRPr="00206D86">
        <w:rPr>
          <w:rFonts w:ascii="Times New Roman" w:eastAsiaTheme="majorEastAsia" w:hAnsi="Times New Roman" w:cs="Times New Roman"/>
          <w:b/>
          <w:noProof/>
          <w:color w:val="000000" w:themeColor="text1"/>
          <w:kern w:val="2"/>
          <w:sz w:val="32"/>
          <w:szCs w:val="32"/>
          <w:lang w:val="en-US"/>
          <w14:ligatures w14:val="standardContextual"/>
        </w:rPr>
        <w:drawing>
          <wp:inline distT="0" distB="0" distL="0" distR="0" wp14:anchorId="6691FCA7" wp14:editId="1F23771D">
            <wp:extent cx="5291847" cy="3338154"/>
            <wp:effectExtent l="0" t="0" r="4445" b="2540"/>
            <wp:docPr id="404589908" name="Bildobjekt 1" descr="En bild som visar torn,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89908" name="Bildobjekt 1" descr="En bild som visar torn, skärmbild, linje&#10;&#10;Automatiskt genererad beskrivning"/>
                    <pic:cNvPicPr/>
                  </pic:nvPicPr>
                  <pic:blipFill rotWithShape="1">
                    <a:blip r:embed="rId6">
                      <a:extLst>
                        <a:ext uri="{28A0092B-C50C-407E-A947-70E740481C1C}">
                          <a14:useLocalDpi xmlns:a14="http://schemas.microsoft.com/office/drawing/2010/main" val="0"/>
                        </a:ext>
                      </a:extLst>
                    </a:blip>
                    <a:srcRect l="6151" t="6523" r="8292" b="3533"/>
                    <a:stretch/>
                  </pic:blipFill>
                  <pic:spPr bwMode="auto">
                    <a:xfrm>
                      <a:off x="0" y="0"/>
                      <a:ext cx="5317801" cy="3354526"/>
                    </a:xfrm>
                    <a:prstGeom prst="rect">
                      <a:avLst/>
                    </a:prstGeom>
                    <a:ln>
                      <a:noFill/>
                    </a:ln>
                    <a:extLst>
                      <a:ext uri="{53640926-AAD7-44D8-BBD7-CCE9431645EC}">
                        <a14:shadowObscured xmlns:a14="http://schemas.microsoft.com/office/drawing/2010/main"/>
                      </a:ext>
                    </a:extLst>
                  </pic:spPr>
                </pic:pic>
              </a:graphicData>
            </a:graphic>
          </wp:inline>
        </w:drawing>
      </w:r>
    </w:p>
    <w:p w14:paraId="1075B8CA" w14:textId="5CFD2694" w:rsidR="00E3740F" w:rsidRPr="00206D86" w:rsidRDefault="00E3740F" w:rsidP="0019792E">
      <w:pPr>
        <w:pStyle w:val="Rubrik3"/>
        <w:rPr>
          <w:lang w:val="en-US"/>
        </w:rPr>
      </w:pPr>
      <w:bookmarkStart w:id="9" w:name="_Toc152330771"/>
      <w:r w:rsidRPr="00206D86">
        <w:rPr>
          <w:lang w:val="en-US"/>
        </w:rPr>
        <w:t xml:space="preserve">Figure </w:t>
      </w:r>
      <w:r w:rsidR="00481DE5" w:rsidRPr="00206D86">
        <w:rPr>
          <w:lang w:val="en-US"/>
        </w:rPr>
        <w:t xml:space="preserve">SI </w:t>
      </w:r>
      <w:r w:rsidRPr="00206D86">
        <w:fldChar w:fldCharType="begin"/>
      </w:r>
      <w:r w:rsidRPr="00206D86">
        <w:rPr>
          <w:lang w:val="en-US"/>
        </w:rPr>
        <w:instrText xml:space="preserve"> SEQ Figure \* ARABIC </w:instrText>
      </w:r>
      <w:r w:rsidRPr="00206D86">
        <w:fldChar w:fldCharType="separate"/>
      </w:r>
      <w:r w:rsidR="00F26053" w:rsidRPr="00206D86">
        <w:rPr>
          <w:noProof/>
          <w:lang w:val="en-US"/>
        </w:rPr>
        <w:t>1</w:t>
      </w:r>
      <w:r w:rsidRPr="00206D86">
        <w:fldChar w:fldCharType="end"/>
      </w:r>
      <w:r w:rsidRPr="00206D86">
        <w:rPr>
          <w:lang w:val="en-US"/>
        </w:rPr>
        <w:t>. Histogram of residuals of SOC samples.</w:t>
      </w:r>
      <w:r w:rsidR="00A963B5" w:rsidRPr="00206D86">
        <w:rPr>
          <w:lang w:val="en-US"/>
        </w:rPr>
        <w:t xml:space="preserve"> </w:t>
      </w:r>
      <w:r w:rsidR="00C322F0" w:rsidRPr="00206D86">
        <w:rPr>
          <w:lang w:val="en-US"/>
        </w:rPr>
        <w:t>This figure displays the histogram of residuals from the linear regression model, overlaid with a kernel density estimate to illustrate the distribution's shape</w:t>
      </w:r>
      <w:bookmarkEnd w:id="9"/>
    </w:p>
    <w:p w14:paraId="0DE341E3" w14:textId="77777777" w:rsidR="00F26053" w:rsidRPr="00206D86" w:rsidRDefault="008D2C15" w:rsidP="00F26053">
      <w:pPr>
        <w:keepNext/>
        <w:suppressAutoHyphens w:val="0"/>
        <w:spacing w:after="0" w:line="240" w:lineRule="auto"/>
        <w:rPr>
          <w:rFonts w:ascii="Times New Roman" w:hAnsi="Times New Roman" w:cs="Times New Roman"/>
          <w:b/>
          <w:bCs/>
          <w:color w:val="000000" w:themeColor="text1"/>
          <w:sz w:val="36"/>
          <w:szCs w:val="36"/>
        </w:rPr>
      </w:pPr>
      <w:r w:rsidRPr="00206D86">
        <w:rPr>
          <w:rFonts w:cs="Times New Roman"/>
          <w:color w:val="000000" w:themeColor="text1"/>
          <w:lang w:val="en-US"/>
        </w:rPr>
        <w:br w:type="page"/>
      </w:r>
      <w:r w:rsidR="000A708A" w:rsidRPr="00206D86">
        <w:rPr>
          <w:rFonts w:ascii="Times New Roman" w:hAnsi="Times New Roman" w:cs="Times New Roman"/>
          <w:b/>
          <w:bCs/>
          <w:noProof/>
          <w:color w:val="000000" w:themeColor="text1"/>
          <w:sz w:val="36"/>
          <w:szCs w:val="36"/>
          <w:lang w:val="en-US"/>
          <w14:ligatures w14:val="standardContextual"/>
        </w:rPr>
        <w:lastRenderedPageBreak/>
        <w:drawing>
          <wp:inline distT="0" distB="0" distL="0" distR="0" wp14:anchorId="06067B09" wp14:editId="2FB21502">
            <wp:extent cx="5142228" cy="4032000"/>
            <wp:effectExtent l="0" t="0" r="1905" b="0"/>
            <wp:docPr id="381466585" name="Bildobjekt 2" descr="En bild som visar text, Graf,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66585" name="Bildobjekt 2" descr="En bild som visar text, Graf, skärmbild, linje&#10;&#10;Automatiskt genererad beskrivning"/>
                    <pic:cNvPicPr/>
                  </pic:nvPicPr>
                  <pic:blipFill rotWithShape="1">
                    <a:blip r:embed="rId7">
                      <a:extLst>
                        <a:ext uri="{28A0092B-C50C-407E-A947-70E740481C1C}">
                          <a14:useLocalDpi xmlns:a14="http://schemas.microsoft.com/office/drawing/2010/main" val="0"/>
                        </a:ext>
                      </a:extLst>
                    </a:blip>
                    <a:srcRect l="2703" t="6756" r="8105" b="3"/>
                    <a:stretch/>
                  </pic:blipFill>
                  <pic:spPr bwMode="auto">
                    <a:xfrm>
                      <a:off x="0" y="0"/>
                      <a:ext cx="5142228" cy="4032000"/>
                    </a:xfrm>
                    <a:prstGeom prst="rect">
                      <a:avLst/>
                    </a:prstGeom>
                    <a:ln>
                      <a:noFill/>
                    </a:ln>
                    <a:extLst>
                      <a:ext uri="{53640926-AAD7-44D8-BBD7-CCE9431645EC}">
                        <a14:shadowObscured xmlns:a14="http://schemas.microsoft.com/office/drawing/2010/main"/>
                      </a:ext>
                    </a:extLst>
                  </pic:spPr>
                </pic:pic>
              </a:graphicData>
            </a:graphic>
          </wp:inline>
        </w:drawing>
      </w:r>
    </w:p>
    <w:p w14:paraId="29D536C5" w14:textId="1D3287C9" w:rsidR="008D2C15" w:rsidRPr="00206D86" w:rsidRDefault="00F26053" w:rsidP="0019792E">
      <w:pPr>
        <w:pStyle w:val="Rubrik3"/>
        <w:rPr>
          <w:sz w:val="48"/>
          <w:szCs w:val="48"/>
          <w:lang w:val="en-US"/>
        </w:rPr>
      </w:pPr>
      <w:bookmarkStart w:id="10" w:name="_Toc152330772"/>
      <w:r w:rsidRPr="00206D86">
        <w:rPr>
          <w:lang w:val="en-US"/>
        </w:rPr>
        <w:t xml:space="preserve">Figure </w:t>
      </w:r>
      <w:r w:rsidR="00481DE5" w:rsidRPr="00206D86">
        <w:rPr>
          <w:lang w:val="en-US"/>
        </w:rPr>
        <w:t xml:space="preserve">SI </w:t>
      </w:r>
      <w:r w:rsidRPr="00206D86">
        <w:fldChar w:fldCharType="begin"/>
      </w:r>
      <w:r w:rsidRPr="00206D86">
        <w:rPr>
          <w:lang w:val="en-US"/>
        </w:rPr>
        <w:instrText xml:space="preserve"> SEQ Figure \* ARABIC </w:instrText>
      </w:r>
      <w:r w:rsidRPr="00206D86">
        <w:fldChar w:fldCharType="separate"/>
      </w:r>
      <w:r w:rsidRPr="00206D86">
        <w:rPr>
          <w:noProof/>
          <w:lang w:val="en-US"/>
        </w:rPr>
        <w:t>2</w:t>
      </w:r>
      <w:r w:rsidRPr="00206D86">
        <w:fldChar w:fldCharType="end"/>
      </w:r>
      <w:r w:rsidRPr="00206D86">
        <w:rPr>
          <w:lang w:val="en-US"/>
        </w:rPr>
        <w:t xml:space="preserve">. </w:t>
      </w:r>
      <w:r w:rsidR="000E6A97" w:rsidRPr="00206D86">
        <w:rPr>
          <w:lang w:val="en-US"/>
        </w:rPr>
        <w:t xml:space="preserve">Quantile-Quantile (Q-Q) </w:t>
      </w:r>
      <w:r w:rsidRPr="00206D86">
        <w:rPr>
          <w:lang w:val="en-US"/>
        </w:rPr>
        <w:t xml:space="preserve">plot </w:t>
      </w:r>
      <w:r w:rsidR="000E6A97" w:rsidRPr="00206D86">
        <w:rPr>
          <w:lang w:val="en-US"/>
        </w:rPr>
        <w:t>of</w:t>
      </w:r>
      <w:r w:rsidRPr="00206D86">
        <w:rPr>
          <w:lang w:val="en-US"/>
        </w:rPr>
        <w:t xml:space="preserve"> Residuals of SOC samples</w:t>
      </w:r>
      <w:r w:rsidR="00D10164" w:rsidRPr="00206D86">
        <w:rPr>
          <w:lang w:val="en-US"/>
        </w:rPr>
        <w:t xml:space="preserve">. </w:t>
      </w:r>
      <w:r w:rsidR="000E6A97" w:rsidRPr="00206D86">
        <w:rPr>
          <w:lang w:val="en-US"/>
        </w:rPr>
        <w:t>The QQ plot of the residuals against a theoretical normal distribution, with the 45-degree reference line indicating perfect normality.</w:t>
      </w:r>
      <w:bookmarkEnd w:id="10"/>
    </w:p>
    <w:p w14:paraId="753DACC2" w14:textId="77777777" w:rsidR="00F26053" w:rsidRPr="00206D86" w:rsidRDefault="00F26053">
      <w:pPr>
        <w:suppressAutoHyphens w:val="0"/>
        <w:spacing w:after="0" w:line="240" w:lineRule="auto"/>
        <w:rPr>
          <w:rFonts w:ascii="Times New Roman" w:eastAsiaTheme="majorEastAsia" w:hAnsi="Times New Roman" w:cs="Times New Roman"/>
          <w:b/>
          <w:color w:val="000000" w:themeColor="text1"/>
          <w:kern w:val="2"/>
          <w:sz w:val="32"/>
          <w:szCs w:val="32"/>
          <w:lang w:val="en-US"/>
          <w14:ligatures w14:val="standardContextual"/>
        </w:rPr>
      </w:pPr>
      <w:r w:rsidRPr="00206D86">
        <w:rPr>
          <w:rFonts w:cs="Times New Roman"/>
          <w:color w:val="000000" w:themeColor="text1"/>
          <w:lang w:val="en-US"/>
        </w:rPr>
        <w:br w:type="page"/>
      </w:r>
    </w:p>
    <w:p w14:paraId="57ECF170" w14:textId="5DDCA89E" w:rsidR="00022ADC" w:rsidRDefault="00022ADC" w:rsidP="00022ADC">
      <w:pPr>
        <w:pStyle w:val="Rubrik1"/>
        <w:spacing w:before="0"/>
        <w:rPr>
          <w:rFonts w:cs="Times New Roman"/>
          <w:lang w:val="en-US"/>
        </w:rPr>
      </w:pPr>
      <w:bookmarkStart w:id="11" w:name="_Toc152330773"/>
      <w:r>
        <w:rPr>
          <w:rFonts w:cs="Times New Roman"/>
          <w:lang w:val="en-US"/>
        </w:rPr>
        <w:lastRenderedPageBreak/>
        <w:t>SI – 3. Region-specific information about SOC/clay ratio and soil texture</w:t>
      </w:r>
      <w:bookmarkEnd w:id="11"/>
    </w:p>
    <w:p w14:paraId="37F73226" w14:textId="77777777" w:rsidR="00022ADC" w:rsidRPr="00022ADC" w:rsidRDefault="00022ADC" w:rsidP="00CE3663">
      <w:pPr>
        <w:pStyle w:val="Rubrik3"/>
        <w:rPr>
          <w:lang w:val="en-US"/>
        </w:rPr>
      </w:pPr>
      <w:bookmarkStart w:id="12" w:name="_Toc147493691"/>
      <w:bookmarkStart w:id="13" w:name="_Toc146892804"/>
      <w:bookmarkStart w:id="14" w:name="_Toc152330774"/>
      <w:r w:rsidRPr="00022ADC">
        <w:rPr>
          <w:lang w:val="en-US"/>
        </w:rPr>
        <w:t>Table SI 5.  Average clay content and carbon value for each production region, subcategorized into soil structure quality classes.</w:t>
      </w:r>
      <w:bookmarkEnd w:id="12"/>
      <w:bookmarkEnd w:id="13"/>
      <w:bookmarkEnd w:id="14"/>
    </w:p>
    <w:p w14:paraId="214BBB31" w14:textId="77777777" w:rsidR="00022ADC" w:rsidRDefault="00022ADC" w:rsidP="00022ADC">
      <w:pPr>
        <w:rPr>
          <w:rFonts w:ascii="Times New Roman" w:hAnsi="Times New Roman" w:cs="Times New Roman"/>
          <w:color w:val="000000" w:themeColor="text1"/>
          <w:lang w:val="en-US"/>
        </w:rPr>
      </w:pPr>
    </w:p>
    <w:tbl>
      <w:tblPr>
        <w:tblW w:w="8780" w:type="dxa"/>
        <w:tblLayout w:type="fixed"/>
        <w:tblCellMar>
          <w:left w:w="70" w:type="dxa"/>
          <w:right w:w="70" w:type="dxa"/>
        </w:tblCellMar>
        <w:tblLook w:val="04A0" w:firstRow="1" w:lastRow="0" w:firstColumn="1" w:lastColumn="0" w:noHBand="0" w:noVBand="1"/>
      </w:tblPr>
      <w:tblGrid>
        <w:gridCol w:w="1756"/>
        <w:gridCol w:w="1756"/>
        <w:gridCol w:w="1756"/>
        <w:gridCol w:w="1756"/>
        <w:gridCol w:w="1756"/>
      </w:tblGrid>
      <w:tr w:rsidR="00022ADC" w14:paraId="50191AE2" w14:textId="77777777" w:rsidTr="00127924">
        <w:trPr>
          <w:trHeight w:val="346"/>
        </w:trPr>
        <w:tc>
          <w:tcPr>
            <w:tcW w:w="1756" w:type="dxa"/>
            <w:tcBorders>
              <w:top w:val="single" w:sz="8" w:space="0" w:color="000000"/>
            </w:tcBorders>
            <w:shd w:val="clear" w:color="auto" w:fill="auto"/>
            <w:vAlign w:val="center"/>
          </w:tcPr>
          <w:p w14:paraId="7159030A"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Number of Fields</w:t>
            </w:r>
          </w:p>
        </w:tc>
        <w:tc>
          <w:tcPr>
            <w:tcW w:w="1756" w:type="dxa"/>
            <w:tcBorders>
              <w:top w:val="single" w:sz="8" w:space="0" w:color="000000"/>
            </w:tcBorders>
            <w:shd w:val="clear" w:color="auto" w:fill="auto"/>
            <w:vAlign w:val="center"/>
          </w:tcPr>
          <w:p w14:paraId="7ED69855"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p>
        </w:tc>
        <w:tc>
          <w:tcPr>
            <w:tcW w:w="1756" w:type="dxa"/>
            <w:vMerge w:val="restart"/>
            <w:tcBorders>
              <w:top w:val="single" w:sz="8" w:space="0" w:color="000000"/>
              <w:bottom w:val="single" w:sz="8" w:space="0" w:color="000000"/>
            </w:tcBorders>
            <w:shd w:val="clear" w:color="auto" w:fill="auto"/>
            <w:vAlign w:val="center"/>
          </w:tcPr>
          <w:p w14:paraId="099EDEE8"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Share (% of number)</w:t>
            </w:r>
          </w:p>
        </w:tc>
        <w:tc>
          <w:tcPr>
            <w:tcW w:w="1756" w:type="dxa"/>
            <w:tcBorders>
              <w:top w:val="single" w:sz="8" w:space="0" w:color="000000"/>
            </w:tcBorders>
            <w:shd w:val="clear" w:color="auto" w:fill="auto"/>
            <w:vAlign w:val="center"/>
          </w:tcPr>
          <w:p w14:paraId="2EDA1EA8"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Clay %</w:t>
            </w:r>
          </w:p>
        </w:tc>
        <w:tc>
          <w:tcPr>
            <w:tcW w:w="1756" w:type="dxa"/>
            <w:tcBorders>
              <w:top w:val="single" w:sz="8" w:space="0" w:color="000000"/>
            </w:tcBorders>
            <w:shd w:val="clear" w:color="auto" w:fill="auto"/>
            <w:vAlign w:val="center"/>
          </w:tcPr>
          <w:p w14:paraId="00D6EB9A"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xml:space="preserve">Carbon % DM </w:t>
            </w:r>
          </w:p>
        </w:tc>
      </w:tr>
      <w:tr w:rsidR="00022ADC" w14:paraId="5F40A876" w14:textId="77777777" w:rsidTr="00127924">
        <w:trPr>
          <w:trHeight w:val="346"/>
        </w:trPr>
        <w:tc>
          <w:tcPr>
            <w:tcW w:w="1756" w:type="dxa"/>
            <w:shd w:val="clear" w:color="auto" w:fill="auto"/>
            <w:vAlign w:val="center"/>
          </w:tcPr>
          <w:p w14:paraId="6E2922D2"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Production region (PR)</w:t>
            </w:r>
          </w:p>
        </w:tc>
        <w:tc>
          <w:tcPr>
            <w:tcW w:w="1756" w:type="dxa"/>
            <w:shd w:val="clear" w:color="auto" w:fill="auto"/>
            <w:vAlign w:val="center"/>
          </w:tcPr>
          <w:p w14:paraId="3B29CBF9"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Soil structure quality</w:t>
            </w:r>
          </w:p>
        </w:tc>
        <w:tc>
          <w:tcPr>
            <w:tcW w:w="1756" w:type="dxa"/>
            <w:vMerge/>
            <w:tcBorders>
              <w:top w:val="single" w:sz="8" w:space="0" w:color="000000"/>
              <w:bottom w:val="single" w:sz="8" w:space="0" w:color="000000"/>
            </w:tcBorders>
            <w:vAlign w:val="center"/>
          </w:tcPr>
          <w:p w14:paraId="4D82E8B2" w14:textId="77777777" w:rsidR="00022ADC" w:rsidRDefault="00022ADC" w:rsidP="00127924">
            <w:pPr>
              <w:suppressAutoHyphens w:val="0"/>
              <w:spacing w:after="0" w:line="240" w:lineRule="auto"/>
              <w:rPr>
                <w:rFonts w:ascii="Times New Roman" w:eastAsia="Times New Roman" w:hAnsi="Times New Roman" w:cs="Times New Roman"/>
                <w:b/>
                <w:bCs/>
                <w:color w:val="000000" w:themeColor="text1"/>
                <w:sz w:val="18"/>
                <w:szCs w:val="18"/>
                <w:lang w:eastAsia="sv-SE"/>
              </w:rPr>
            </w:pPr>
          </w:p>
        </w:tc>
        <w:tc>
          <w:tcPr>
            <w:tcW w:w="1756" w:type="dxa"/>
            <w:shd w:val="clear" w:color="auto" w:fill="auto"/>
            <w:vAlign w:val="center"/>
          </w:tcPr>
          <w:p w14:paraId="3225DB51"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xml:space="preserve">DM </w:t>
            </w:r>
          </w:p>
        </w:tc>
        <w:tc>
          <w:tcPr>
            <w:tcW w:w="1756" w:type="dxa"/>
            <w:shd w:val="clear" w:color="auto" w:fill="auto"/>
            <w:vAlign w:val="center"/>
          </w:tcPr>
          <w:p w14:paraId="715B866B"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Average</w:t>
            </w:r>
          </w:p>
        </w:tc>
      </w:tr>
      <w:tr w:rsidR="00022ADC" w14:paraId="0DF4FAFC" w14:textId="77777777" w:rsidTr="00127924">
        <w:trPr>
          <w:trHeight w:val="196"/>
        </w:trPr>
        <w:tc>
          <w:tcPr>
            <w:tcW w:w="1756" w:type="dxa"/>
            <w:tcBorders>
              <w:bottom w:val="single" w:sz="8" w:space="0" w:color="000000"/>
            </w:tcBorders>
            <w:shd w:val="clear" w:color="auto" w:fill="auto"/>
            <w:vAlign w:val="center"/>
          </w:tcPr>
          <w:p w14:paraId="4E8B9ECB" w14:textId="77777777" w:rsidR="00022ADC" w:rsidRDefault="00022ADC" w:rsidP="00127924">
            <w:pPr>
              <w:suppressAutoHyphens w:val="0"/>
              <w:spacing w:after="0" w:line="240" w:lineRule="auto"/>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eastAsia="sv-SE"/>
              </w:rPr>
              <w:t> </w:t>
            </w:r>
          </w:p>
        </w:tc>
        <w:tc>
          <w:tcPr>
            <w:tcW w:w="1756" w:type="dxa"/>
            <w:tcBorders>
              <w:bottom w:val="single" w:sz="8" w:space="0" w:color="000000"/>
            </w:tcBorders>
            <w:shd w:val="clear" w:color="auto" w:fill="auto"/>
            <w:vAlign w:val="center"/>
          </w:tcPr>
          <w:p w14:paraId="5D57A91C" w14:textId="77777777" w:rsidR="00022ADC" w:rsidRDefault="00022ADC" w:rsidP="00127924">
            <w:pPr>
              <w:suppressAutoHyphens w:val="0"/>
              <w:spacing w:after="0" w:line="240" w:lineRule="auto"/>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eastAsia="sv-SE"/>
              </w:rPr>
              <w:t> </w:t>
            </w:r>
          </w:p>
        </w:tc>
        <w:tc>
          <w:tcPr>
            <w:tcW w:w="1756" w:type="dxa"/>
            <w:vMerge/>
            <w:tcBorders>
              <w:top w:val="single" w:sz="8" w:space="0" w:color="000000"/>
              <w:bottom w:val="single" w:sz="8" w:space="0" w:color="000000"/>
            </w:tcBorders>
            <w:vAlign w:val="center"/>
          </w:tcPr>
          <w:p w14:paraId="06FF8F70" w14:textId="77777777" w:rsidR="00022ADC" w:rsidRDefault="00022ADC" w:rsidP="00127924">
            <w:pPr>
              <w:suppressAutoHyphens w:val="0"/>
              <w:spacing w:after="0" w:line="240" w:lineRule="auto"/>
              <w:rPr>
                <w:rFonts w:ascii="Times New Roman" w:eastAsia="Times New Roman" w:hAnsi="Times New Roman" w:cs="Times New Roman"/>
                <w:b/>
                <w:bCs/>
                <w:color w:val="000000" w:themeColor="text1"/>
                <w:sz w:val="18"/>
                <w:szCs w:val="18"/>
                <w:lang w:eastAsia="sv-SE"/>
              </w:rPr>
            </w:pPr>
          </w:p>
        </w:tc>
        <w:tc>
          <w:tcPr>
            <w:tcW w:w="1756" w:type="dxa"/>
            <w:tcBorders>
              <w:bottom w:val="single" w:sz="8" w:space="0" w:color="000000"/>
            </w:tcBorders>
            <w:shd w:val="clear" w:color="auto" w:fill="auto"/>
            <w:vAlign w:val="center"/>
          </w:tcPr>
          <w:p w14:paraId="152E5D42"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Average</w:t>
            </w:r>
          </w:p>
        </w:tc>
        <w:tc>
          <w:tcPr>
            <w:tcW w:w="1756" w:type="dxa"/>
            <w:tcBorders>
              <w:bottom w:val="single" w:sz="8" w:space="0" w:color="000000"/>
            </w:tcBorders>
            <w:shd w:val="clear" w:color="auto" w:fill="auto"/>
            <w:vAlign w:val="center"/>
          </w:tcPr>
          <w:p w14:paraId="2EBC6ED7" w14:textId="77777777" w:rsidR="00022ADC" w:rsidRDefault="00022ADC" w:rsidP="00127924">
            <w:pPr>
              <w:suppressAutoHyphens w:val="0"/>
              <w:spacing w:after="0" w:line="240" w:lineRule="auto"/>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eastAsia="sv-SE"/>
              </w:rPr>
              <w:t> </w:t>
            </w:r>
          </w:p>
        </w:tc>
      </w:tr>
      <w:tr w:rsidR="00022ADC" w14:paraId="6AE99428" w14:textId="77777777" w:rsidTr="00127924">
        <w:trPr>
          <w:trHeight w:val="196"/>
        </w:trPr>
        <w:tc>
          <w:tcPr>
            <w:tcW w:w="1756" w:type="dxa"/>
            <w:tcBorders>
              <w:bottom w:val="single" w:sz="8" w:space="0" w:color="000000"/>
            </w:tcBorders>
            <w:shd w:val="clear" w:color="auto" w:fill="auto"/>
            <w:vAlign w:val="center"/>
          </w:tcPr>
          <w:p w14:paraId="0A4D56F6"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PR 1</w:t>
            </w:r>
          </w:p>
        </w:tc>
        <w:tc>
          <w:tcPr>
            <w:tcW w:w="1756" w:type="dxa"/>
            <w:shd w:val="clear" w:color="auto" w:fill="auto"/>
            <w:vAlign w:val="center"/>
          </w:tcPr>
          <w:p w14:paraId="540DE4CC"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p>
        </w:tc>
        <w:tc>
          <w:tcPr>
            <w:tcW w:w="1756" w:type="dxa"/>
            <w:shd w:val="clear" w:color="auto" w:fill="auto"/>
            <w:vAlign w:val="center"/>
          </w:tcPr>
          <w:p w14:paraId="340F4040"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p>
        </w:tc>
        <w:tc>
          <w:tcPr>
            <w:tcW w:w="1756" w:type="dxa"/>
            <w:shd w:val="clear" w:color="auto" w:fill="auto"/>
            <w:vAlign w:val="center"/>
          </w:tcPr>
          <w:p w14:paraId="48209E6F"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p>
        </w:tc>
        <w:tc>
          <w:tcPr>
            <w:tcW w:w="1756" w:type="dxa"/>
            <w:shd w:val="clear" w:color="auto" w:fill="auto"/>
            <w:vAlign w:val="center"/>
          </w:tcPr>
          <w:p w14:paraId="266AD13B"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p>
        </w:tc>
      </w:tr>
      <w:tr w:rsidR="00022ADC" w14:paraId="0E4CBF79" w14:textId="77777777" w:rsidTr="00127924">
        <w:trPr>
          <w:trHeight w:val="183"/>
        </w:trPr>
        <w:tc>
          <w:tcPr>
            <w:tcW w:w="1756" w:type="dxa"/>
            <w:shd w:val="clear" w:color="auto" w:fill="auto"/>
            <w:vAlign w:val="center"/>
          </w:tcPr>
          <w:p w14:paraId="1DE5A690"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107</w:t>
            </w:r>
          </w:p>
        </w:tc>
        <w:tc>
          <w:tcPr>
            <w:tcW w:w="1756" w:type="dxa"/>
            <w:shd w:val="clear" w:color="auto" w:fill="auto"/>
            <w:vAlign w:val="center"/>
          </w:tcPr>
          <w:p w14:paraId="0E33A8AC"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Very Good</w:t>
            </w:r>
          </w:p>
        </w:tc>
        <w:tc>
          <w:tcPr>
            <w:tcW w:w="1756" w:type="dxa"/>
            <w:shd w:val="clear" w:color="auto" w:fill="auto"/>
            <w:vAlign w:val="center"/>
          </w:tcPr>
          <w:p w14:paraId="6EDA9776"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52%</w:t>
            </w:r>
          </w:p>
        </w:tc>
        <w:tc>
          <w:tcPr>
            <w:tcW w:w="1756" w:type="dxa"/>
            <w:shd w:val="clear" w:color="auto" w:fill="auto"/>
            <w:vAlign w:val="center"/>
          </w:tcPr>
          <w:p w14:paraId="52F186EC"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12.4</w:t>
            </w:r>
          </w:p>
        </w:tc>
        <w:tc>
          <w:tcPr>
            <w:tcW w:w="1756" w:type="dxa"/>
            <w:shd w:val="clear" w:color="auto" w:fill="auto"/>
            <w:vAlign w:val="center"/>
          </w:tcPr>
          <w:p w14:paraId="16D1EBB8"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2.7</w:t>
            </w:r>
          </w:p>
        </w:tc>
      </w:tr>
      <w:tr w:rsidR="00022ADC" w14:paraId="4CCC2D0D" w14:textId="77777777" w:rsidTr="00127924">
        <w:trPr>
          <w:trHeight w:val="183"/>
        </w:trPr>
        <w:tc>
          <w:tcPr>
            <w:tcW w:w="1756" w:type="dxa"/>
            <w:shd w:val="clear" w:color="auto" w:fill="auto"/>
            <w:vAlign w:val="center"/>
          </w:tcPr>
          <w:p w14:paraId="315A3F54"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32</w:t>
            </w:r>
          </w:p>
        </w:tc>
        <w:tc>
          <w:tcPr>
            <w:tcW w:w="1756" w:type="dxa"/>
            <w:shd w:val="clear" w:color="auto" w:fill="auto"/>
            <w:vAlign w:val="center"/>
          </w:tcPr>
          <w:p w14:paraId="6E3C4018"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Good</w:t>
            </w:r>
          </w:p>
        </w:tc>
        <w:tc>
          <w:tcPr>
            <w:tcW w:w="1756" w:type="dxa"/>
            <w:shd w:val="clear" w:color="auto" w:fill="auto"/>
            <w:vAlign w:val="center"/>
          </w:tcPr>
          <w:p w14:paraId="1873DCF8"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15%</w:t>
            </w:r>
          </w:p>
        </w:tc>
        <w:tc>
          <w:tcPr>
            <w:tcW w:w="1756" w:type="dxa"/>
            <w:shd w:val="clear" w:color="auto" w:fill="auto"/>
            <w:vAlign w:val="center"/>
          </w:tcPr>
          <w:p w14:paraId="2FF0E080"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15.6</w:t>
            </w:r>
          </w:p>
        </w:tc>
        <w:tc>
          <w:tcPr>
            <w:tcW w:w="1756" w:type="dxa"/>
            <w:shd w:val="clear" w:color="auto" w:fill="auto"/>
            <w:vAlign w:val="center"/>
          </w:tcPr>
          <w:p w14:paraId="46E15023"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1.7</w:t>
            </w:r>
          </w:p>
        </w:tc>
      </w:tr>
      <w:tr w:rsidR="00022ADC" w14:paraId="1F596762" w14:textId="77777777" w:rsidTr="00127924">
        <w:trPr>
          <w:trHeight w:val="521"/>
        </w:trPr>
        <w:tc>
          <w:tcPr>
            <w:tcW w:w="1756" w:type="dxa"/>
            <w:shd w:val="clear" w:color="auto" w:fill="auto"/>
            <w:vAlign w:val="center"/>
          </w:tcPr>
          <w:p w14:paraId="4FE9197F"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40</w:t>
            </w:r>
          </w:p>
        </w:tc>
        <w:tc>
          <w:tcPr>
            <w:tcW w:w="1756" w:type="dxa"/>
            <w:shd w:val="clear" w:color="auto" w:fill="auto"/>
            <w:vAlign w:val="center"/>
          </w:tcPr>
          <w:p w14:paraId="3C840BCE"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Suggested Improvement</w:t>
            </w:r>
          </w:p>
        </w:tc>
        <w:tc>
          <w:tcPr>
            <w:tcW w:w="1756" w:type="dxa"/>
            <w:shd w:val="clear" w:color="auto" w:fill="auto"/>
            <w:vAlign w:val="center"/>
          </w:tcPr>
          <w:p w14:paraId="30C5C28A"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19%</w:t>
            </w:r>
          </w:p>
        </w:tc>
        <w:tc>
          <w:tcPr>
            <w:tcW w:w="1756" w:type="dxa"/>
            <w:shd w:val="clear" w:color="auto" w:fill="auto"/>
            <w:vAlign w:val="center"/>
          </w:tcPr>
          <w:p w14:paraId="2DC506C5"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22.4</w:t>
            </w:r>
          </w:p>
        </w:tc>
        <w:tc>
          <w:tcPr>
            <w:tcW w:w="1756" w:type="dxa"/>
            <w:shd w:val="clear" w:color="auto" w:fill="auto"/>
            <w:vAlign w:val="center"/>
          </w:tcPr>
          <w:p w14:paraId="7AA176D9"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1.9</w:t>
            </w:r>
          </w:p>
        </w:tc>
      </w:tr>
      <w:tr w:rsidR="00022ADC" w14:paraId="151250F6" w14:textId="77777777" w:rsidTr="00127924">
        <w:trPr>
          <w:trHeight w:val="183"/>
        </w:trPr>
        <w:tc>
          <w:tcPr>
            <w:tcW w:w="1756" w:type="dxa"/>
            <w:shd w:val="clear" w:color="auto" w:fill="auto"/>
            <w:vAlign w:val="center"/>
          </w:tcPr>
          <w:p w14:paraId="43DFDA84"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28</w:t>
            </w:r>
          </w:p>
        </w:tc>
        <w:tc>
          <w:tcPr>
            <w:tcW w:w="1756" w:type="dxa"/>
            <w:shd w:val="clear" w:color="auto" w:fill="auto"/>
            <w:vAlign w:val="center"/>
          </w:tcPr>
          <w:p w14:paraId="7DCED177"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Poor</w:t>
            </w:r>
          </w:p>
        </w:tc>
        <w:tc>
          <w:tcPr>
            <w:tcW w:w="1756" w:type="dxa"/>
            <w:shd w:val="clear" w:color="auto" w:fill="auto"/>
            <w:vAlign w:val="center"/>
          </w:tcPr>
          <w:p w14:paraId="0246C86E"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14%</w:t>
            </w:r>
          </w:p>
        </w:tc>
        <w:tc>
          <w:tcPr>
            <w:tcW w:w="1756" w:type="dxa"/>
            <w:shd w:val="clear" w:color="auto" w:fill="auto"/>
            <w:vAlign w:val="center"/>
          </w:tcPr>
          <w:p w14:paraId="7083E3B9"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27.3</w:t>
            </w:r>
          </w:p>
        </w:tc>
        <w:tc>
          <w:tcPr>
            <w:tcW w:w="1756" w:type="dxa"/>
            <w:shd w:val="clear" w:color="auto" w:fill="auto"/>
            <w:vAlign w:val="center"/>
          </w:tcPr>
          <w:p w14:paraId="0EC42028"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1.8</w:t>
            </w:r>
          </w:p>
        </w:tc>
      </w:tr>
      <w:tr w:rsidR="00022ADC" w14:paraId="1872787C" w14:textId="77777777" w:rsidTr="00127924">
        <w:trPr>
          <w:trHeight w:val="196"/>
        </w:trPr>
        <w:tc>
          <w:tcPr>
            <w:tcW w:w="1756" w:type="dxa"/>
            <w:tcBorders>
              <w:bottom w:val="single" w:sz="8" w:space="0" w:color="000000"/>
            </w:tcBorders>
            <w:shd w:val="clear" w:color="auto" w:fill="auto"/>
            <w:vAlign w:val="center"/>
          </w:tcPr>
          <w:p w14:paraId="7AB8AA35"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PR 2</w:t>
            </w:r>
          </w:p>
        </w:tc>
        <w:tc>
          <w:tcPr>
            <w:tcW w:w="1756" w:type="dxa"/>
            <w:tcBorders>
              <w:bottom w:val="single" w:sz="8" w:space="0" w:color="000000"/>
            </w:tcBorders>
            <w:shd w:val="clear" w:color="auto" w:fill="auto"/>
            <w:vAlign w:val="center"/>
          </w:tcPr>
          <w:p w14:paraId="19669FFA"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c>
          <w:tcPr>
            <w:tcW w:w="1756" w:type="dxa"/>
            <w:tcBorders>
              <w:bottom w:val="single" w:sz="8" w:space="0" w:color="000000"/>
            </w:tcBorders>
            <w:shd w:val="clear" w:color="auto" w:fill="auto"/>
            <w:vAlign w:val="center"/>
          </w:tcPr>
          <w:p w14:paraId="111402E1"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c>
          <w:tcPr>
            <w:tcW w:w="1756" w:type="dxa"/>
            <w:tcBorders>
              <w:bottom w:val="single" w:sz="8" w:space="0" w:color="000000"/>
            </w:tcBorders>
            <w:shd w:val="clear" w:color="auto" w:fill="auto"/>
            <w:vAlign w:val="center"/>
          </w:tcPr>
          <w:p w14:paraId="47BF2909"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c>
          <w:tcPr>
            <w:tcW w:w="1756" w:type="dxa"/>
            <w:tcBorders>
              <w:bottom w:val="single" w:sz="8" w:space="0" w:color="000000"/>
            </w:tcBorders>
            <w:shd w:val="clear" w:color="auto" w:fill="auto"/>
            <w:vAlign w:val="center"/>
          </w:tcPr>
          <w:p w14:paraId="0B961A0F"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r>
      <w:tr w:rsidR="00022ADC" w14:paraId="4EE0FC1C" w14:textId="77777777" w:rsidTr="00127924">
        <w:trPr>
          <w:trHeight w:val="183"/>
        </w:trPr>
        <w:tc>
          <w:tcPr>
            <w:tcW w:w="1756" w:type="dxa"/>
            <w:shd w:val="clear" w:color="auto" w:fill="auto"/>
            <w:vAlign w:val="center"/>
          </w:tcPr>
          <w:p w14:paraId="7A84E803"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144</w:t>
            </w:r>
          </w:p>
        </w:tc>
        <w:tc>
          <w:tcPr>
            <w:tcW w:w="1756" w:type="dxa"/>
            <w:shd w:val="clear" w:color="auto" w:fill="auto"/>
            <w:vAlign w:val="center"/>
          </w:tcPr>
          <w:p w14:paraId="57C5B96B"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Very Good</w:t>
            </w:r>
          </w:p>
        </w:tc>
        <w:tc>
          <w:tcPr>
            <w:tcW w:w="1756" w:type="dxa"/>
            <w:shd w:val="clear" w:color="auto" w:fill="auto"/>
            <w:vAlign w:val="center"/>
          </w:tcPr>
          <w:p w14:paraId="5767214D"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75%</w:t>
            </w:r>
          </w:p>
        </w:tc>
        <w:tc>
          <w:tcPr>
            <w:tcW w:w="1756" w:type="dxa"/>
            <w:shd w:val="clear" w:color="auto" w:fill="auto"/>
            <w:vAlign w:val="center"/>
          </w:tcPr>
          <w:p w14:paraId="2A75623D"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10.3</w:t>
            </w:r>
          </w:p>
        </w:tc>
        <w:tc>
          <w:tcPr>
            <w:tcW w:w="1756" w:type="dxa"/>
            <w:shd w:val="clear" w:color="auto" w:fill="auto"/>
            <w:vAlign w:val="center"/>
          </w:tcPr>
          <w:p w14:paraId="74467AC6"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2.7</w:t>
            </w:r>
          </w:p>
        </w:tc>
      </w:tr>
      <w:tr w:rsidR="00022ADC" w14:paraId="52C13565" w14:textId="77777777" w:rsidTr="00127924">
        <w:trPr>
          <w:trHeight w:val="183"/>
        </w:trPr>
        <w:tc>
          <w:tcPr>
            <w:tcW w:w="1756" w:type="dxa"/>
            <w:shd w:val="clear" w:color="auto" w:fill="auto"/>
            <w:vAlign w:val="center"/>
          </w:tcPr>
          <w:p w14:paraId="28349384"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15</w:t>
            </w:r>
          </w:p>
        </w:tc>
        <w:tc>
          <w:tcPr>
            <w:tcW w:w="1756" w:type="dxa"/>
            <w:shd w:val="clear" w:color="auto" w:fill="auto"/>
            <w:vAlign w:val="center"/>
          </w:tcPr>
          <w:p w14:paraId="040C0486"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Good</w:t>
            </w:r>
          </w:p>
        </w:tc>
        <w:tc>
          <w:tcPr>
            <w:tcW w:w="1756" w:type="dxa"/>
            <w:shd w:val="clear" w:color="auto" w:fill="auto"/>
            <w:vAlign w:val="center"/>
          </w:tcPr>
          <w:p w14:paraId="5C164CCA"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8%</w:t>
            </w:r>
          </w:p>
        </w:tc>
        <w:tc>
          <w:tcPr>
            <w:tcW w:w="1756" w:type="dxa"/>
            <w:shd w:val="clear" w:color="auto" w:fill="auto"/>
            <w:vAlign w:val="center"/>
          </w:tcPr>
          <w:p w14:paraId="5E8CBF7E"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18.9</w:t>
            </w:r>
          </w:p>
        </w:tc>
        <w:tc>
          <w:tcPr>
            <w:tcW w:w="1756" w:type="dxa"/>
            <w:shd w:val="clear" w:color="auto" w:fill="auto"/>
            <w:vAlign w:val="center"/>
          </w:tcPr>
          <w:p w14:paraId="589B2402"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2.1</w:t>
            </w:r>
          </w:p>
        </w:tc>
      </w:tr>
      <w:tr w:rsidR="00022ADC" w14:paraId="0D04C5C0" w14:textId="77777777" w:rsidTr="00127924">
        <w:trPr>
          <w:trHeight w:val="521"/>
        </w:trPr>
        <w:tc>
          <w:tcPr>
            <w:tcW w:w="1756" w:type="dxa"/>
            <w:shd w:val="clear" w:color="auto" w:fill="auto"/>
            <w:vAlign w:val="center"/>
          </w:tcPr>
          <w:p w14:paraId="592A4745"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25</w:t>
            </w:r>
          </w:p>
        </w:tc>
        <w:tc>
          <w:tcPr>
            <w:tcW w:w="1756" w:type="dxa"/>
            <w:shd w:val="clear" w:color="auto" w:fill="auto"/>
            <w:vAlign w:val="center"/>
          </w:tcPr>
          <w:p w14:paraId="45FD0B44"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Suggested Improvement</w:t>
            </w:r>
          </w:p>
        </w:tc>
        <w:tc>
          <w:tcPr>
            <w:tcW w:w="1756" w:type="dxa"/>
            <w:shd w:val="clear" w:color="auto" w:fill="auto"/>
            <w:vAlign w:val="center"/>
          </w:tcPr>
          <w:p w14:paraId="17A60A72"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13%</w:t>
            </w:r>
          </w:p>
        </w:tc>
        <w:tc>
          <w:tcPr>
            <w:tcW w:w="1756" w:type="dxa"/>
            <w:shd w:val="clear" w:color="auto" w:fill="auto"/>
            <w:vAlign w:val="center"/>
          </w:tcPr>
          <w:p w14:paraId="57EB699D"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20.5</w:t>
            </w:r>
          </w:p>
        </w:tc>
        <w:tc>
          <w:tcPr>
            <w:tcW w:w="1756" w:type="dxa"/>
            <w:shd w:val="clear" w:color="auto" w:fill="auto"/>
            <w:vAlign w:val="center"/>
          </w:tcPr>
          <w:p w14:paraId="7D3FA0B2"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1.8</w:t>
            </w:r>
          </w:p>
        </w:tc>
      </w:tr>
      <w:tr w:rsidR="00022ADC" w14:paraId="02621B42" w14:textId="77777777" w:rsidTr="00127924">
        <w:trPr>
          <w:trHeight w:val="183"/>
        </w:trPr>
        <w:tc>
          <w:tcPr>
            <w:tcW w:w="1756" w:type="dxa"/>
            <w:shd w:val="clear" w:color="auto" w:fill="auto"/>
            <w:vAlign w:val="center"/>
          </w:tcPr>
          <w:p w14:paraId="0B231E9C"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9</w:t>
            </w:r>
          </w:p>
        </w:tc>
        <w:tc>
          <w:tcPr>
            <w:tcW w:w="1756" w:type="dxa"/>
            <w:shd w:val="clear" w:color="auto" w:fill="auto"/>
            <w:vAlign w:val="center"/>
          </w:tcPr>
          <w:p w14:paraId="5D5A0190"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Poor</w:t>
            </w:r>
          </w:p>
        </w:tc>
        <w:tc>
          <w:tcPr>
            <w:tcW w:w="1756" w:type="dxa"/>
            <w:shd w:val="clear" w:color="auto" w:fill="auto"/>
            <w:vAlign w:val="center"/>
          </w:tcPr>
          <w:p w14:paraId="60FAE8AC"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5%</w:t>
            </w:r>
          </w:p>
        </w:tc>
        <w:tc>
          <w:tcPr>
            <w:tcW w:w="1756" w:type="dxa"/>
            <w:shd w:val="clear" w:color="auto" w:fill="auto"/>
            <w:vAlign w:val="center"/>
          </w:tcPr>
          <w:p w14:paraId="14BCF5E3"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31.3</w:t>
            </w:r>
          </w:p>
        </w:tc>
        <w:tc>
          <w:tcPr>
            <w:tcW w:w="1756" w:type="dxa"/>
            <w:shd w:val="clear" w:color="auto" w:fill="auto"/>
            <w:vAlign w:val="center"/>
          </w:tcPr>
          <w:p w14:paraId="3031D26B"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1.9</w:t>
            </w:r>
          </w:p>
        </w:tc>
      </w:tr>
      <w:tr w:rsidR="00022ADC" w14:paraId="632B7E6A" w14:textId="77777777" w:rsidTr="00127924">
        <w:trPr>
          <w:trHeight w:val="196"/>
        </w:trPr>
        <w:tc>
          <w:tcPr>
            <w:tcW w:w="1756" w:type="dxa"/>
            <w:tcBorders>
              <w:bottom w:val="single" w:sz="8" w:space="0" w:color="000000"/>
            </w:tcBorders>
            <w:shd w:val="clear" w:color="auto" w:fill="auto"/>
            <w:vAlign w:val="center"/>
          </w:tcPr>
          <w:p w14:paraId="08BC51ED"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PR 3</w:t>
            </w:r>
          </w:p>
        </w:tc>
        <w:tc>
          <w:tcPr>
            <w:tcW w:w="1756" w:type="dxa"/>
            <w:tcBorders>
              <w:bottom w:val="single" w:sz="8" w:space="0" w:color="000000"/>
            </w:tcBorders>
            <w:shd w:val="clear" w:color="auto" w:fill="auto"/>
            <w:vAlign w:val="center"/>
          </w:tcPr>
          <w:p w14:paraId="3B9FA540"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c>
          <w:tcPr>
            <w:tcW w:w="1756" w:type="dxa"/>
            <w:tcBorders>
              <w:bottom w:val="single" w:sz="8" w:space="0" w:color="000000"/>
            </w:tcBorders>
            <w:shd w:val="clear" w:color="auto" w:fill="auto"/>
            <w:vAlign w:val="center"/>
          </w:tcPr>
          <w:p w14:paraId="769362E7"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c>
          <w:tcPr>
            <w:tcW w:w="1756" w:type="dxa"/>
            <w:tcBorders>
              <w:bottom w:val="single" w:sz="8" w:space="0" w:color="000000"/>
            </w:tcBorders>
            <w:shd w:val="clear" w:color="auto" w:fill="auto"/>
            <w:vAlign w:val="center"/>
          </w:tcPr>
          <w:p w14:paraId="0F462099"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c>
          <w:tcPr>
            <w:tcW w:w="1756" w:type="dxa"/>
            <w:tcBorders>
              <w:bottom w:val="single" w:sz="8" w:space="0" w:color="000000"/>
            </w:tcBorders>
            <w:shd w:val="clear" w:color="auto" w:fill="auto"/>
            <w:vAlign w:val="center"/>
          </w:tcPr>
          <w:p w14:paraId="105D379F"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r>
      <w:tr w:rsidR="00022ADC" w14:paraId="75730853" w14:textId="77777777" w:rsidTr="00127924">
        <w:trPr>
          <w:trHeight w:val="183"/>
        </w:trPr>
        <w:tc>
          <w:tcPr>
            <w:tcW w:w="1756" w:type="dxa"/>
            <w:shd w:val="clear" w:color="auto" w:fill="auto"/>
            <w:vAlign w:val="center"/>
          </w:tcPr>
          <w:p w14:paraId="169D966E"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116</w:t>
            </w:r>
          </w:p>
        </w:tc>
        <w:tc>
          <w:tcPr>
            <w:tcW w:w="1756" w:type="dxa"/>
            <w:shd w:val="clear" w:color="auto" w:fill="auto"/>
            <w:vAlign w:val="center"/>
          </w:tcPr>
          <w:p w14:paraId="36A0BF58"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Very Good</w:t>
            </w:r>
          </w:p>
        </w:tc>
        <w:tc>
          <w:tcPr>
            <w:tcW w:w="1756" w:type="dxa"/>
            <w:shd w:val="clear" w:color="auto" w:fill="auto"/>
            <w:vAlign w:val="center"/>
          </w:tcPr>
          <w:p w14:paraId="4FD97473"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35%</w:t>
            </w:r>
          </w:p>
        </w:tc>
        <w:tc>
          <w:tcPr>
            <w:tcW w:w="1756" w:type="dxa"/>
            <w:shd w:val="clear" w:color="auto" w:fill="auto"/>
            <w:vAlign w:val="center"/>
          </w:tcPr>
          <w:p w14:paraId="645545AE"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13.9</w:t>
            </w:r>
          </w:p>
        </w:tc>
        <w:tc>
          <w:tcPr>
            <w:tcW w:w="1756" w:type="dxa"/>
            <w:shd w:val="clear" w:color="auto" w:fill="auto"/>
            <w:vAlign w:val="center"/>
          </w:tcPr>
          <w:p w14:paraId="365EFF40"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3.0</w:t>
            </w:r>
          </w:p>
        </w:tc>
      </w:tr>
      <w:tr w:rsidR="00022ADC" w14:paraId="733CAD9C" w14:textId="77777777" w:rsidTr="00127924">
        <w:trPr>
          <w:trHeight w:val="183"/>
        </w:trPr>
        <w:tc>
          <w:tcPr>
            <w:tcW w:w="1756" w:type="dxa"/>
            <w:shd w:val="clear" w:color="auto" w:fill="auto"/>
            <w:vAlign w:val="center"/>
          </w:tcPr>
          <w:p w14:paraId="59133C55"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29</w:t>
            </w:r>
          </w:p>
        </w:tc>
        <w:tc>
          <w:tcPr>
            <w:tcW w:w="1756" w:type="dxa"/>
            <w:shd w:val="clear" w:color="auto" w:fill="auto"/>
            <w:vAlign w:val="center"/>
          </w:tcPr>
          <w:p w14:paraId="51FE5D2C"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Good</w:t>
            </w:r>
          </w:p>
        </w:tc>
        <w:tc>
          <w:tcPr>
            <w:tcW w:w="1756" w:type="dxa"/>
            <w:shd w:val="clear" w:color="auto" w:fill="auto"/>
            <w:vAlign w:val="center"/>
          </w:tcPr>
          <w:p w14:paraId="26494816"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9%</w:t>
            </w:r>
          </w:p>
        </w:tc>
        <w:tc>
          <w:tcPr>
            <w:tcW w:w="1756" w:type="dxa"/>
            <w:shd w:val="clear" w:color="auto" w:fill="auto"/>
            <w:vAlign w:val="center"/>
          </w:tcPr>
          <w:p w14:paraId="645F4B6E"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22.9</w:t>
            </w:r>
          </w:p>
        </w:tc>
        <w:tc>
          <w:tcPr>
            <w:tcW w:w="1756" w:type="dxa"/>
            <w:shd w:val="clear" w:color="auto" w:fill="auto"/>
            <w:vAlign w:val="center"/>
          </w:tcPr>
          <w:p w14:paraId="36DDBA31"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2.5</w:t>
            </w:r>
          </w:p>
        </w:tc>
      </w:tr>
      <w:tr w:rsidR="00022ADC" w14:paraId="4963060E" w14:textId="77777777" w:rsidTr="00127924">
        <w:trPr>
          <w:trHeight w:val="521"/>
        </w:trPr>
        <w:tc>
          <w:tcPr>
            <w:tcW w:w="1756" w:type="dxa"/>
            <w:shd w:val="clear" w:color="auto" w:fill="auto"/>
            <w:vAlign w:val="center"/>
          </w:tcPr>
          <w:p w14:paraId="79DD2245"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53</w:t>
            </w:r>
          </w:p>
        </w:tc>
        <w:tc>
          <w:tcPr>
            <w:tcW w:w="1756" w:type="dxa"/>
            <w:shd w:val="clear" w:color="auto" w:fill="auto"/>
            <w:vAlign w:val="center"/>
          </w:tcPr>
          <w:p w14:paraId="3378A0C9"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Suggested Improvement</w:t>
            </w:r>
          </w:p>
        </w:tc>
        <w:tc>
          <w:tcPr>
            <w:tcW w:w="1756" w:type="dxa"/>
            <w:shd w:val="clear" w:color="auto" w:fill="auto"/>
            <w:vAlign w:val="center"/>
          </w:tcPr>
          <w:p w14:paraId="35BD1244"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16%</w:t>
            </w:r>
          </w:p>
        </w:tc>
        <w:tc>
          <w:tcPr>
            <w:tcW w:w="1756" w:type="dxa"/>
            <w:shd w:val="clear" w:color="auto" w:fill="auto"/>
            <w:vAlign w:val="center"/>
          </w:tcPr>
          <w:p w14:paraId="31728CFA"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32.7</w:t>
            </w:r>
          </w:p>
        </w:tc>
        <w:tc>
          <w:tcPr>
            <w:tcW w:w="1756" w:type="dxa"/>
            <w:shd w:val="clear" w:color="auto" w:fill="auto"/>
            <w:vAlign w:val="center"/>
          </w:tcPr>
          <w:p w14:paraId="1297173C"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2.8</w:t>
            </w:r>
          </w:p>
        </w:tc>
      </w:tr>
      <w:tr w:rsidR="00022ADC" w14:paraId="17BA2E7C" w14:textId="77777777" w:rsidTr="00127924">
        <w:trPr>
          <w:trHeight w:val="183"/>
        </w:trPr>
        <w:tc>
          <w:tcPr>
            <w:tcW w:w="1756" w:type="dxa"/>
            <w:shd w:val="clear" w:color="auto" w:fill="auto"/>
            <w:vAlign w:val="center"/>
          </w:tcPr>
          <w:p w14:paraId="76EC15D5"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137</w:t>
            </w:r>
          </w:p>
        </w:tc>
        <w:tc>
          <w:tcPr>
            <w:tcW w:w="1756" w:type="dxa"/>
            <w:shd w:val="clear" w:color="auto" w:fill="auto"/>
            <w:vAlign w:val="center"/>
          </w:tcPr>
          <w:p w14:paraId="5A0E88E9"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Poor</w:t>
            </w:r>
          </w:p>
        </w:tc>
        <w:tc>
          <w:tcPr>
            <w:tcW w:w="1756" w:type="dxa"/>
            <w:shd w:val="clear" w:color="auto" w:fill="auto"/>
            <w:vAlign w:val="center"/>
          </w:tcPr>
          <w:p w14:paraId="7AA72849"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41%</w:t>
            </w:r>
          </w:p>
        </w:tc>
        <w:tc>
          <w:tcPr>
            <w:tcW w:w="1756" w:type="dxa"/>
            <w:shd w:val="clear" w:color="auto" w:fill="auto"/>
            <w:vAlign w:val="center"/>
          </w:tcPr>
          <w:p w14:paraId="79C169F5"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41.7</w:t>
            </w:r>
          </w:p>
        </w:tc>
        <w:tc>
          <w:tcPr>
            <w:tcW w:w="1756" w:type="dxa"/>
            <w:shd w:val="clear" w:color="auto" w:fill="auto"/>
            <w:vAlign w:val="center"/>
          </w:tcPr>
          <w:p w14:paraId="0C0ADC82"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2.2</w:t>
            </w:r>
          </w:p>
        </w:tc>
      </w:tr>
      <w:tr w:rsidR="00022ADC" w14:paraId="6F9C0C99" w14:textId="77777777" w:rsidTr="00127924">
        <w:trPr>
          <w:trHeight w:val="196"/>
        </w:trPr>
        <w:tc>
          <w:tcPr>
            <w:tcW w:w="1756" w:type="dxa"/>
            <w:tcBorders>
              <w:bottom w:val="single" w:sz="8" w:space="0" w:color="000000"/>
            </w:tcBorders>
            <w:shd w:val="clear" w:color="auto" w:fill="auto"/>
            <w:vAlign w:val="center"/>
          </w:tcPr>
          <w:p w14:paraId="5C961AEB"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PR 4</w:t>
            </w:r>
          </w:p>
        </w:tc>
        <w:tc>
          <w:tcPr>
            <w:tcW w:w="1756" w:type="dxa"/>
            <w:tcBorders>
              <w:bottom w:val="single" w:sz="8" w:space="0" w:color="000000"/>
            </w:tcBorders>
            <w:shd w:val="clear" w:color="auto" w:fill="auto"/>
            <w:vAlign w:val="center"/>
          </w:tcPr>
          <w:p w14:paraId="05939B57"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c>
          <w:tcPr>
            <w:tcW w:w="1756" w:type="dxa"/>
            <w:tcBorders>
              <w:bottom w:val="single" w:sz="8" w:space="0" w:color="000000"/>
            </w:tcBorders>
            <w:shd w:val="clear" w:color="auto" w:fill="auto"/>
            <w:vAlign w:val="center"/>
          </w:tcPr>
          <w:p w14:paraId="0ABB16A6"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c>
          <w:tcPr>
            <w:tcW w:w="1756" w:type="dxa"/>
            <w:tcBorders>
              <w:bottom w:val="single" w:sz="8" w:space="0" w:color="000000"/>
            </w:tcBorders>
            <w:shd w:val="clear" w:color="auto" w:fill="auto"/>
            <w:vAlign w:val="center"/>
          </w:tcPr>
          <w:p w14:paraId="4660A111"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c>
          <w:tcPr>
            <w:tcW w:w="1756" w:type="dxa"/>
            <w:tcBorders>
              <w:bottom w:val="single" w:sz="8" w:space="0" w:color="000000"/>
            </w:tcBorders>
            <w:shd w:val="clear" w:color="auto" w:fill="auto"/>
            <w:vAlign w:val="center"/>
          </w:tcPr>
          <w:p w14:paraId="040FDCF3"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r>
      <w:tr w:rsidR="00022ADC" w14:paraId="7C5931D4" w14:textId="77777777" w:rsidTr="00127924">
        <w:trPr>
          <w:trHeight w:val="183"/>
        </w:trPr>
        <w:tc>
          <w:tcPr>
            <w:tcW w:w="1756" w:type="dxa"/>
            <w:shd w:val="clear" w:color="auto" w:fill="auto"/>
            <w:vAlign w:val="center"/>
          </w:tcPr>
          <w:p w14:paraId="509C3DDF"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58</w:t>
            </w:r>
          </w:p>
        </w:tc>
        <w:tc>
          <w:tcPr>
            <w:tcW w:w="1756" w:type="dxa"/>
            <w:shd w:val="clear" w:color="auto" w:fill="auto"/>
            <w:vAlign w:val="center"/>
          </w:tcPr>
          <w:p w14:paraId="14FE6A42"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Very Good</w:t>
            </w:r>
          </w:p>
        </w:tc>
        <w:tc>
          <w:tcPr>
            <w:tcW w:w="1756" w:type="dxa"/>
            <w:shd w:val="clear" w:color="auto" w:fill="auto"/>
            <w:vAlign w:val="center"/>
          </w:tcPr>
          <w:p w14:paraId="7F3F1C12"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16%</w:t>
            </w:r>
          </w:p>
        </w:tc>
        <w:tc>
          <w:tcPr>
            <w:tcW w:w="1756" w:type="dxa"/>
            <w:shd w:val="clear" w:color="auto" w:fill="auto"/>
            <w:vAlign w:val="center"/>
          </w:tcPr>
          <w:p w14:paraId="3324E44A"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16.0</w:t>
            </w:r>
          </w:p>
        </w:tc>
        <w:tc>
          <w:tcPr>
            <w:tcW w:w="1756" w:type="dxa"/>
            <w:shd w:val="clear" w:color="auto" w:fill="auto"/>
            <w:vAlign w:val="center"/>
          </w:tcPr>
          <w:p w14:paraId="2956A734"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3.0</w:t>
            </w:r>
          </w:p>
        </w:tc>
      </w:tr>
      <w:tr w:rsidR="00022ADC" w14:paraId="02C41B41" w14:textId="77777777" w:rsidTr="00127924">
        <w:trPr>
          <w:trHeight w:val="183"/>
        </w:trPr>
        <w:tc>
          <w:tcPr>
            <w:tcW w:w="1756" w:type="dxa"/>
            <w:shd w:val="clear" w:color="auto" w:fill="auto"/>
            <w:vAlign w:val="center"/>
          </w:tcPr>
          <w:p w14:paraId="04D99E36"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21</w:t>
            </w:r>
          </w:p>
        </w:tc>
        <w:tc>
          <w:tcPr>
            <w:tcW w:w="1756" w:type="dxa"/>
            <w:shd w:val="clear" w:color="auto" w:fill="auto"/>
            <w:vAlign w:val="center"/>
          </w:tcPr>
          <w:p w14:paraId="2B972B66"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Good</w:t>
            </w:r>
          </w:p>
        </w:tc>
        <w:tc>
          <w:tcPr>
            <w:tcW w:w="1756" w:type="dxa"/>
            <w:shd w:val="clear" w:color="auto" w:fill="auto"/>
            <w:vAlign w:val="center"/>
          </w:tcPr>
          <w:p w14:paraId="6168C138"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6%</w:t>
            </w:r>
          </w:p>
        </w:tc>
        <w:tc>
          <w:tcPr>
            <w:tcW w:w="1756" w:type="dxa"/>
            <w:shd w:val="clear" w:color="auto" w:fill="auto"/>
            <w:vAlign w:val="center"/>
          </w:tcPr>
          <w:p w14:paraId="0AC96108"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31.7</w:t>
            </w:r>
          </w:p>
        </w:tc>
        <w:tc>
          <w:tcPr>
            <w:tcW w:w="1756" w:type="dxa"/>
            <w:shd w:val="clear" w:color="auto" w:fill="auto"/>
            <w:vAlign w:val="center"/>
          </w:tcPr>
          <w:p w14:paraId="6A9C21A8"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3.5</w:t>
            </w:r>
          </w:p>
        </w:tc>
      </w:tr>
      <w:tr w:rsidR="00022ADC" w14:paraId="60C5F776" w14:textId="77777777" w:rsidTr="00127924">
        <w:trPr>
          <w:trHeight w:val="521"/>
        </w:trPr>
        <w:tc>
          <w:tcPr>
            <w:tcW w:w="1756" w:type="dxa"/>
            <w:shd w:val="clear" w:color="auto" w:fill="auto"/>
            <w:vAlign w:val="center"/>
          </w:tcPr>
          <w:p w14:paraId="38562B56"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58</w:t>
            </w:r>
          </w:p>
        </w:tc>
        <w:tc>
          <w:tcPr>
            <w:tcW w:w="1756" w:type="dxa"/>
            <w:shd w:val="clear" w:color="auto" w:fill="auto"/>
            <w:vAlign w:val="center"/>
          </w:tcPr>
          <w:p w14:paraId="5CC947DA"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Suggested Improvement</w:t>
            </w:r>
          </w:p>
        </w:tc>
        <w:tc>
          <w:tcPr>
            <w:tcW w:w="1756" w:type="dxa"/>
            <w:shd w:val="clear" w:color="auto" w:fill="auto"/>
            <w:vAlign w:val="center"/>
          </w:tcPr>
          <w:p w14:paraId="30D65D39"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16%</w:t>
            </w:r>
          </w:p>
        </w:tc>
        <w:tc>
          <w:tcPr>
            <w:tcW w:w="1756" w:type="dxa"/>
            <w:shd w:val="clear" w:color="auto" w:fill="auto"/>
            <w:vAlign w:val="center"/>
          </w:tcPr>
          <w:p w14:paraId="2AC3242E"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32.4</w:t>
            </w:r>
          </w:p>
        </w:tc>
        <w:tc>
          <w:tcPr>
            <w:tcW w:w="1756" w:type="dxa"/>
            <w:shd w:val="clear" w:color="auto" w:fill="auto"/>
            <w:vAlign w:val="center"/>
          </w:tcPr>
          <w:p w14:paraId="1B4FD5B3"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2.8</w:t>
            </w:r>
          </w:p>
        </w:tc>
      </w:tr>
      <w:tr w:rsidR="00022ADC" w14:paraId="53D19E81" w14:textId="77777777" w:rsidTr="00127924">
        <w:trPr>
          <w:trHeight w:val="183"/>
        </w:trPr>
        <w:tc>
          <w:tcPr>
            <w:tcW w:w="1756" w:type="dxa"/>
            <w:shd w:val="clear" w:color="auto" w:fill="auto"/>
            <w:vAlign w:val="center"/>
          </w:tcPr>
          <w:p w14:paraId="25B355FE"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227</w:t>
            </w:r>
          </w:p>
        </w:tc>
        <w:tc>
          <w:tcPr>
            <w:tcW w:w="1756" w:type="dxa"/>
            <w:shd w:val="clear" w:color="auto" w:fill="auto"/>
            <w:vAlign w:val="center"/>
          </w:tcPr>
          <w:p w14:paraId="6BF6A8DE"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Poor</w:t>
            </w:r>
          </w:p>
        </w:tc>
        <w:tc>
          <w:tcPr>
            <w:tcW w:w="1756" w:type="dxa"/>
            <w:shd w:val="clear" w:color="auto" w:fill="auto"/>
            <w:vAlign w:val="center"/>
          </w:tcPr>
          <w:p w14:paraId="70B9444E"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62%</w:t>
            </w:r>
          </w:p>
        </w:tc>
        <w:tc>
          <w:tcPr>
            <w:tcW w:w="1756" w:type="dxa"/>
            <w:shd w:val="clear" w:color="auto" w:fill="auto"/>
            <w:vAlign w:val="center"/>
          </w:tcPr>
          <w:p w14:paraId="0E7E67B0"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43.1</w:t>
            </w:r>
          </w:p>
        </w:tc>
        <w:tc>
          <w:tcPr>
            <w:tcW w:w="1756" w:type="dxa"/>
            <w:shd w:val="clear" w:color="auto" w:fill="auto"/>
            <w:vAlign w:val="center"/>
          </w:tcPr>
          <w:p w14:paraId="225C8E73"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2.3</w:t>
            </w:r>
          </w:p>
        </w:tc>
      </w:tr>
      <w:tr w:rsidR="00022ADC" w14:paraId="24A3CFB9" w14:textId="77777777" w:rsidTr="00127924">
        <w:trPr>
          <w:trHeight w:val="196"/>
        </w:trPr>
        <w:tc>
          <w:tcPr>
            <w:tcW w:w="1756" w:type="dxa"/>
            <w:tcBorders>
              <w:bottom w:val="single" w:sz="8" w:space="0" w:color="000000"/>
            </w:tcBorders>
            <w:shd w:val="clear" w:color="auto" w:fill="auto"/>
            <w:vAlign w:val="center"/>
          </w:tcPr>
          <w:p w14:paraId="2BBA94B4"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PR 5</w:t>
            </w:r>
          </w:p>
        </w:tc>
        <w:tc>
          <w:tcPr>
            <w:tcW w:w="1756" w:type="dxa"/>
            <w:tcBorders>
              <w:bottom w:val="single" w:sz="8" w:space="0" w:color="000000"/>
            </w:tcBorders>
            <w:shd w:val="clear" w:color="auto" w:fill="auto"/>
            <w:vAlign w:val="center"/>
          </w:tcPr>
          <w:p w14:paraId="2FE78F10"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c>
          <w:tcPr>
            <w:tcW w:w="1756" w:type="dxa"/>
            <w:tcBorders>
              <w:bottom w:val="single" w:sz="8" w:space="0" w:color="000000"/>
            </w:tcBorders>
            <w:shd w:val="clear" w:color="auto" w:fill="auto"/>
            <w:vAlign w:val="center"/>
          </w:tcPr>
          <w:p w14:paraId="61683233"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c>
          <w:tcPr>
            <w:tcW w:w="1756" w:type="dxa"/>
            <w:tcBorders>
              <w:bottom w:val="single" w:sz="8" w:space="0" w:color="000000"/>
            </w:tcBorders>
            <w:shd w:val="clear" w:color="auto" w:fill="auto"/>
            <w:vAlign w:val="center"/>
          </w:tcPr>
          <w:p w14:paraId="755AC31D"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c>
          <w:tcPr>
            <w:tcW w:w="1756" w:type="dxa"/>
            <w:tcBorders>
              <w:bottom w:val="single" w:sz="8" w:space="0" w:color="000000"/>
            </w:tcBorders>
            <w:shd w:val="clear" w:color="auto" w:fill="auto"/>
            <w:vAlign w:val="center"/>
          </w:tcPr>
          <w:p w14:paraId="35FC21A7"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r>
      <w:tr w:rsidR="00022ADC" w14:paraId="196D2D86" w14:textId="77777777" w:rsidTr="00127924">
        <w:trPr>
          <w:trHeight w:val="183"/>
        </w:trPr>
        <w:tc>
          <w:tcPr>
            <w:tcW w:w="1756" w:type="dxa"/>
            <w:shd w:val="clear" w:color="auto" w:fill="auto"/>
            <w:vAlign w:val="center"/>
          </w:tcPr>
          <w:p w14:paraId="3B64ADB2"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199</w:t>
            </w:r>
          </w:p>
        </w:tc>
        <w:tc>
          <w:tcPr>
            <w:tcW w:w="1756" w:type="dxa"/>
            <w:shd w:val="clear" w:color="auto" w:fill="auto"/>
            <w:vAlign w:val="center"/>
          </w:tcPr>
          <w:p w14:paraId="20685610"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Very Good</w:t>
            </w:r>
          </w:p>
        </w:tc>
        <w:tc>
          <w:tcPr>
            <w:tcW w:w="1756" w:type="dxa"/>
            <w:shd w:val="clear" w:color="auto" w:fill="auto"/>
            <w:vAlign w:val="center"/>
          </w:tcPr>
          <w:p w14:paraId="5DBA79D4"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78%</w:t>
            </w:r>
          </w:p>
        </w:tc>
        <w:tc>
          <w:tcPr>
            <w:tcW w:w="1756" w:type="dxa"/>
            <w:shd w:val="clear" w:color="auto" w:fill="auto"/>
            <w:vAlign w:val="center"/>
          </w:tcPr>
          <w:p w14:paraId="55E0A7EF"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9.3</w:t>
            </w:r>
          </w:p>
        </w:tc>
        <w:tc>
          <w:tcPr>
            <w:tcW w:w="1756" w:type="dxa"/>
            <w:shd w:val="clear" w:color="auto" w:fill="auto"/>
            <w:vAlign w:val="center"/>
          </w:tcPr>
          <w:p w14:paraId="26976793"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3.2</w:t>
            </w:r>
          </w:p>
        </w:tc>
      </w:tr>
      <w:tr w:rsidR="00022ADC" w14:paraId="36F8EEC1" w14:textId="77777777" w:rsidTr="00127924">
        <w:trPr>
          <w:trHeight w:val="183"/>
        </w:trPr>
        <w:tc>
          <w:tcPr>
            <w:tcW w:w="1756" w:type="dxa"/>
            <w:shd w:val="clear" w:color="auto" w:fill="auto"/>
            <w:vAlign w:val="center"/>
          </w:tcPr>
          <w:p w14:paraId="0C782D39"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22</w:t>
            </w:r>
          </w:p>
        </w:tc>
        <w:tc>
          <w:tcPr>
            <w:tcW w:w="1756" w:type="dxa"/>
            <w:shd w:val="clear" w:color="auto" w:fill="auto"/>
            <w:vAlign w:val="center"/>
          </w:tcPr>
          <w:p w14:paraId="796B9861"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Good</w:t>
            </w:r>
          </w:p>
        </w:tc>
        <w:tc>
          <w:tcPr>
            <w:tcW w:w="1756" w:type="dxa"/>
            <w:shd w:val="clear" w:color="auto" w:fill="auto"/>
            <w:vAlign w:val="center"/>
          </w:tcPr>
          <w:p w14:paraId="2FC1B5AE"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9%</w:t>
            </w:r>
          </w:p>
        </w:tc>
        <w:tc>
          <w:tcPr>
            <w:tcW w:w="1756" w:type="dxa"/>
            <w:shd w:val="clear" w:color="auto" w:fill="auto"/>
            <w:vAlign w:val="center"/>
          </w:tcPr>
          <w:p w14:paraId="3563922D"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28.4</w:t>
            </w:r>
          </w:p>
        </w:tc>
        <w:tc>
          <w:tcPr>
            <w:tcW w:w="1756" w:type="dxa"/>
            <w:shd w:val="clear" w:color="auto" w:fill="auto"/>
            <w:vAlign w:val="center"/>
          </w:tcPr>
          <w:p w14:paraId="47EBAA81"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3.1</w:t>
            </w:r>
          </w:p>
        </w:tc>
      </w:tr>
      <w:tr w:rsidR="00022ADC" w14:paraId="4B1D45CF" w14:textId="77777777" w:rsidTr="00127924">
        <w:trPr>
          <w:trHeight w:val="521"/>
        </w:trPr>
        <w:tc>
          <w:tcPr>
            <w:tcW w:w="1756" w:type="dxa"/>
            <w:shd w:val="clear" w:color="auto" w:fill="auto"/>
            <w:vAlign w:val="center"/>
          </w:tcPr>
          <w:p w14:paraId="06EC3E6E"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18</w:t>
            </w:r>
          </w:p>
        </w:tc>
        <w:tc>
          <w:tcPr>
            <w:tcW w:w="1756" w:type="dxa"/>
            <w:shd w:val="clear" w:color="auto" w:fill="auto"/>
            <w:vAlign w:val="center"/>
          </w:tcPr>
          <w:p w14:paraId="3023AD0C"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Suggested Improvement</w:t>
            </w:r>
          </w:p>
        </w:tc>
        <w:tc>
          <w:tcPr>
            <w:tcW w:w="1756" w:type="dxa"/>
            <w:shd w:val="clear" w:color="auto" w:fill="auto"/>
            <w:vAlign w:val="center"/>
          </w:tcPr>
          <w:p w14:paraId="63B269D8"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7%</w:t>
            </w:r>
          </w:p>
        </w:tc>
        <w:tc>
          <w:tcPr>
            <w:tcW w:w="1756" w:type="dxa"/>
            <w:shd w:val="clear" w:color="auto" w:fill="auto"/>
            <w:vAlign w:val="center"/>
          </w:tcPr>
          <w:p w14:paraId="4E935E0E"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29.8</w:t>
            </w:r>
          </w:p>
        </w:tc>
        <w:tc>
          <w:tcPr>
            <w:tcW w:w="1756" w:type="dxa"/>
            <w:shd w:val="clear" w:color="auto" w:fill="auto"/>
            <w:vAlign w:val="center"/>
          </w:tcPr>
          <w:p w14:paraId="068C3015"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2.6</w:t>
            </w:r>
          </w:p>
        </w:tc>
      </w:tr>
      <w:tr w:rsidR="00022ADC" w14:paraId="248B1517" w14:textId="77777777" w:rsidTr="00127924">
        <w:trPr>
          <w:trHeight w:val="183"/>
        </w:trPr>
        <w:tc>
          <w:tcPr>
            <w:tcW w:w="1756" w:type="dxa"/>
            <w:shd w:val="clear" w:color="auto" w:fill="auto"/>
            <w:vAlign w:val="center"/>
          </w:tcPr>
          <w:p w14:paraId="3D0BE82C"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17</w:t>
            </w:r>
          </w:p>
        </w:tc>
        <w:tc>
          <w:tcPr>
            <w:tcW w:w="1756" w:type="dxa"/>
            <w:shd w:val="clear" w:color="auto" w:fill="auto"/>
            <w:vAlign w:val="center"/>
          </w:tcPr>
          <w:p w14:paraId="0CD6AEE3"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Poor</w:t>
            </w:r>
          </w:p>
        </w:tc>
        <w:tc>
          <w:tcPr>
            <w:tcW w:w="1756" w:type="dxa"/>
            <w:shd w:val="clear" w:color="auto" w:fill="auto"/>
            <w:vAlign w:val="center"/>
          </w:tcPr>
          <w:p w14:paraId="22FFF835"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7%</w:t>
            </w:r>
          </w:p>
        </w:tc>
        <w:tc>
          <w:tcPr>
            <w:tcW w:w="1756" w:type="dxa"/>
            <w:shd w:val="clear" w:color="auto" w:fill="auto"/>
            <w:vAlign w:val="center"/>
          </w:tcPr>
          <w:p w14:paraId="50E1D681"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48.3</w:t>
            </w:r>
          </w:p>
        </w:tc>
        <w:tc>
          <w:tcPr>
            <w:tcW w:w="1756" w:type="dxa"/>
            <w:shd w:val="clear" w:color="auto" w:fill="auto"/>
            <w:vAlign w:val="center"/>
          </w:tcPr>
          <w:p w14:paraId="02EEF71F"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3.0</w:t>
            </w:r>
          </w:p>
        </w:tc>
      </w:tr>
      <w:tr w:rsidR="00022ADC" w14:paraId="34FA4EC4" w14:textId="77777777" w:rsidTr="00127924">
        <w:trPr>
          <w:trHeight w:val="196"/>
        </w:trPr>
        <w:tc>
          <w:tcPr>
            <w:tcW w:w="1756" w:type="dxa"/>
            <w:tcBorders>
              <w:bottom w:val="single" w:sz="8" w:space="0" w:color="000000"/>
            </w:tcBorders>
            <w:shd w:val="clear" w:color="auto" w:fill="auto"/>
            <w:vAlign w:val="center"/>
          </w:tcPr>
          <w:p w14:paraId="06B4C903"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PR 6</w:t>
            </w:r>
          </w:p>
        </w:tc>
        <w:tc>
          <w:tcPr>
            <w:tcW w:w="1756" w:type="dxa"/>
            <w:tcBorders>
              <w:bottom w:val="single" w:sz="8" w:space="0" w:color="000000"/>
            </w:tcBorders>
            <w:shd w:val="clear" w:color="auto" w:fill="auto"/>
            <w:vAlign w:val="center"/>
          </w:tcPr>
          <w:p w14:paraId="60901E4D"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c>
          <w:tcPr>
            <w:tcW w:w="1756" w:type="dxa"/>
            <w:tcBorders>
              <w:bottom w:val="single" w:sz="8" w:space="0" w:color="000000"/>
            </w:tcBorders>
            <w:shd w:val="clear" w:color="auto" w:fill="auto"/>
            <w:vAlign w:val="center"/>
          </w:tcPr>
          <w:p w14:paraId="13E7623E"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c>
          <w:tcPr>
            <w:tcW w:w="1756" w:type="dxa"/>
            <w:tcBorders>
              <w:bottom w:val="single" w:sz="8" w:space="0" w:color="000000"/>
            </w:tcBorders>
            <w:shd w:val="clear" w:color="auto" w:fill="auto"/>
            <w:vAlign w:val="center"/>
          </w:tcPr>
          <w:p w14:paraId="2EB09813"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c>
          <w:tcPr>
            <w:tcW w:w="1756" w:type="dxa"/>
            <w:tcBorders>
              <w:bottom w:val="single" w:sz="8" w:space="0" w:color="000000"/>
            </w:tcBorders>
            <w:shd w:val="clear" w:color="auto" w:fill="auto"/>
            <w:vAlign w:val="center"/>
          </w:tcPr>
          <w:p w14:paraId="47C6E98B"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r>
      <w:tr w:rsidR="00022ADC" w14:paraId="7A283EA7" w14:textId="77777777" w:rsidTr="00127924">
        <w:trPr>
          <w:trHeight w:val="183"/>
        </w:trPr>
        <w:tc>
          <w:tcPr>
            <w:tcW w:w="1756" w:type="dxa"/>
            <w:shd w:val="clear" w:color="auto" w:fill="auto"/>
            <w:vAlign w:val="center"/>
          </w:tcPr>
          <w:p w14:paraId="01AC83CF"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68</w:t>
            </w:r>
          </w:p>
        </w:tc>
        <w:tc>
          <w:tcPr>
            <w:tcW w:w="1756" w:type="dxa"/>
            <w:shd w:val="clear" w:color="auto" w:fill="auto"/>
            <w:vAlign w:val="center"/>
          </w:tcPr>
          <w:p w14:paraId="52493E11"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Very Good</w:t>
            </w:r>
          </w:p>
        </w:tc>
        <w:tc>
          <w:tcPr>
            <w:tcW w:w="1756" w:type="dxa"/>
            <w:shd w:val="clear" w:color="auto" w:fill="auto"/>
            <w:vAlign w:val="center"/>
          </w:tcPr>
          <w:p w14:paraId="5EDEEFE9"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58%</w:t>
            </w:r>
          </w:p>
        </w:tc>
        <w:tc>
          <w:tcPr>
            <w:tcW w:w="1756" w:type="dxa"/>
            <w:shd w:val="clear" w:color="auto" w:fill="auto"/>
            <w:vAlign w:val="center"/>
          </w:tcPr>
          <w:p w14:paraId="29A6B768"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12.8</w:t>
            </w:r>
          </w:p>
        </w:tc>
        <w:tc>
          <w:tcPr>
            <w:tcW w:w="1756" w:type="dxa"/>
            <w:shd w:val="clear" w:color="auto" w:fill="auto"/>
            <w:vAlign w:val="center"/>
          </w:tcPr>
          <w:p w14:paraId="7BD6CA9F"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2.9</w:t>
            </w:r>
          </w:p>
        </w:tc>
      </w:tr>
      <w:tr w:rsidR="00022ADC" w14:paraId="28ECE3A7" w14:textId="77777777" w:rsidTr="00127924">
        <w:trPr>
          <w:trHeight w:val="183"/>
        </w:trPr>
        <w:tc>
          <w:tcPr>
            <w:tcW w:w="1756" w:type="dxa"/>
            <w:shd w:val="clear" w:color="auto" w:fill="auto"/>
            <w:vAlign w:val="center"/>
          </w:tcPr>
          <w:p w14:paraId="74F88779"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14</w:t>
            </w:r>
          </w:p>
        </w:tc>
        <w:tc>
          <w:tcPr>
            <w:tcW w:w="1756" w:type="dxa"/>
            <w:shd w:val="clear" w:color="auto" w:fill="auto"/>
            <w:vAlign w:val="center"/>
          </w:tcPr>
          <w:p w14:paraId="7D722211"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Good</w:t>
            </w:r>
          </w:p>
        </w:tc>
        <w:tc>
          <w:tcPr>
            <w:tcW w:w="1756" w:type="dxa"/>
            <w:shd w:val="clear" w:color="auto" w:fill="auto"/>
            <w:vAlign w:val="center"/>
          </w:tcPr>
          <w:p w14:paraId="1E91E2C9"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12%</w:t>
            </w:r>
          </w:p>
        </w:tc>
        <w:tc>
          <w:tcPr>
            <w:tcW w:w="1756" w:type="dxa"/>
            <w:shd w:val="clear" w:color="auto" w:fill="auto"/>
            <w:vAlign w:val="center"/>
          </w:tcPr>
          <w:p w14:paraId="5DB5EF31"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27.9</w:t>
            </w:r>
          </w:p>
        </w:tc>
        <w:tc>
          <w:tcPr>
            <w:tcW w:w="1756" w:type="dxa"/>
            <w:shd w:val="clear" w:color="auto" w:fill="auto"/>
            <w:vAlign w:val="center"/>
          </w:tcPr>
          <w:p w14:paraId="27A61128"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3.1</w:t>
            </w:r>
          </w:p>
        </w:tc>
      </w:tr>
      <w:tr w:rsidR="00022ADC" w14:paraId="3FC3CCCD" w14:textId="77777777" w:rsidTr="00127924">
        <w:trPr>
          <w:trHeight w:val="521"/>
        </w:trPr>
        <w:tc>
          <w:tcPr>
            <w:tcW w:w="1756" w:type="dxa"/>
            <w:shd w:val="clear" w:color="auto" w:fill="auto"/>
            <w:vAlign w:val="center"/>
          </w:tcPr>
          <w:p w14:paraId="22E65962"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14</w:t>
            </w:r>
          </w:p>
        </w:tc>
        <w:tc>
          <w:tcPr>
            <w:tcW w:w="1756" w:type="dxa"/>
            <w:shd w:val="clear" w:color="auto" w:fill="auto"/>
            <w:vAlign w:val="center"/>
          </w:tcPr>
          <w:p w14:paraId="79FFC4A9"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Suggested Improvement</w:t>
            </w:r>
          </w:p>
        </w:tc>
        <w:tc>
          <w:tcPr>
            <w:tcW w:w="1756" w:type="dxa"/>
            <w:shd w:val="clear" w:color="auto" w:fill="auto"/>
            <w:vAlign w:val="center"/>
          </w:tcPr>
          <w:p w14:paraId="64289335"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12%</w:t>
            </w:r>
          </w:p>
        </w:tc>
        <w:tc>
          <w:tcPr>
            <w:tcW w:w="1756" w:type="dxa"/>
            <w:shd w:val="clear" w:color="auto" w:fill="auto"/>
            <w:vAlign w:val="center"/>
          </w:tcPr>
          <w:p w14:paraId="03A4565D"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27.6</w:t>
            </w:r>
          </w:p>
        </w:tc>
        <w:tc>
          <w:tcPr>
            <w:tcW w:w="1756" w:type="dxa"/>
            <w:shd w:val="clear" w:color="auto" w:fill="auto"/>
            <w:vAlign w:val="center"/>
          </w:tcPr>
          <w:p w14:paraId="5291D5CC"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2.5</w:t>
            </w:r>
          </w:p>
        </w:tc>
      </w:tr>
      <w:tr w:rsidR="00022ADC" w14:paraId="248CFBAB" w14:textId="77777777" w:rsidTr="00127924">
        <w:trPr>
          <w:trHeight w:val="183"/>
        </w:trPr>
        <w:tc>
          <w:tcPr>
            <w:tcW w:w="1756" w:type="dxa"/>
            <w:shd w:val="clear" w:color="auto" w:fill="auto"/>
            <w:vAlign w:val="center"/>
          </w:tcPr>
          <w:p w14:paraId="55949835"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22</w:t>
            </w:r>
          </w:p>
        </w:tc>
        <w:tc>
          <w:tcPr>
            <w:tcW w:w="1756" w:type="dxa"/>
            <w:shd w:val="clear" w:color="auto" w:fill="auto"/>
            <w:vAlign w:val="center"/>
          </w:tcPr>
          <w:p w14:paraId="40A00AE3"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Poor</w:t>
            </w:r>
          </w:p>
        </w:tc>
        <w:tc>
          <w:tcPr>
            <w:tcW w:w="1756" w:type="dxa"/>
            <w:shd w:val="clear" w:color="auto" w:fill="auto"/>
            <w:vAlign w:val="center"/>
          </w:tcPr>
          <w:p w14:paraId="56CE73F1"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19%</w:t>
            </w:r>
          </w:p>
        </w:tc>
        <w:tc>
          <w:tcPr>
            <w:tcW w:w="1756" w:type="dxa"/>
            <w:shd w:val="clear" w:color="auto" w:fill="auto"/>
            <w:vAlign w:val="center"/>
          </w:tcPr>
          <w:p w14:paraId="4942B759"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39.1</w:t>
            </w:r>
          </w:p>
        </w:tc>
        <w:tc>
          <w:tcPr>
            <w:tcW w:w="1756" w:type="dxa"/>
            <w:shd w:val="clear" w:color="auto" w:fill="auto"/>
            <w:vAlign w:val="center"/>
          </w:tcPr>
          <w:p w14:paraId="1F80A029"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2.1</w:t>
            </w:r>
          </w:p>
        </w:tc>
      </w:tr>
      <w:tr w:rsidR="00022ADC" w14:paraId="2C508078" w14:textId="77777777" w:rsidTr="00127924">
        <w:trPr>
          <w:trHeight w:val="196"/>
        </w:trPr>
        <w:tc>
          <w:tcPr>
            <w:tcW w:w="1756" w:type="dxa"/>
            <w:tcBorders>
              <w:bottom w:val="single" w:sz="8" w:space="0" w:color="000000"/>
            </w:tcBorders>
            <w:shd w:val="clear" w:color="auto" w:fill="auto"/>
            <w:vAlign w:val="center"/>
          </w:tcPr>
          <w:p w14:paraId="4F9FA07E"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PR 7</w:t>
            </w:r>
          </w:p>
        </w:tc>
        <w:tc>
          <w:tcPr>
            <w:tcW w:w="1756" w:type="dxa"/>
            <w:tcBorders>
              <w:bottom w:val="single" w:sz="8" w:space="0" w:color="000000"/>
            </w:tcBorders>
            <w:shd w:val="clear" w:color="auto" w:fill="auto"/>
            <w:vAlign w:val="center"/>
          </w:tcPr>
          <w:p w14:paraId="39DCE5A7"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c>
          <w:tcPr>
            <w:tcW w:w="1756" w:type="dxa"/>
            <w:tcBorders>
              <w:bottom w:val="single" w:sz="8" w:space="0" w:color="000000"/>
            </w:tcBorders>
            <w:shd w:val="clear" w:color="auto" w:fill="auto"/>
            <w:vAlign w:val="center"/>
          </w:tcPr>
          <w:p w14:paraId="6A631660"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c>
          <w:tcPr>
            <w:tcW w:w="1756" w:type="dxa"/>
            <w:tcBorders>
              <w:bottom w:val="single" w:sz="8" w:space="0" w:color="000000"/>
            </w:tcBorders>
            <w:shd w:val="clear" w:color="auto" w:fill="auto"/>
            <w:vAlign w:val="center"/>
          </w:tcPr>
          <w:p w14:paraId="765E517D"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c>
          <w:tcPr>
            <w:tcW w:w="1756" w:type="dxa"/>
            <w:tcBorders>
              <w:bottom w:val="single" w:sz="8" w:space="0" w:color="000000"/>
            </w:tcBorders>
            <w:shd w:val="clear" w:color="auto" w:fill="auto"/>
            <w:vAlign w:val="center"/>
          </w:tcPr>
          <w:p w14:paraId="1B6928D7"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r>
      <w:tr w:rsidR="00022ADC" w14:paraId="57F17C5D" w14:textId="77777777" w:rsidTr="00127924">
        <w:trPr>
          <w:trHeight w:val="183"/>
        </w:trPr>
        <w:tc>
          <w:tcPr>
            <w:tcW w:w="1756" w:type="dxa"/>
            <w:shd w:val="clear" w:color="auto" w:fill="auto"/>
            <w:vAlign w:val="center"/>
          </w:tcPr>
          <w:p w14:paraId="275D568F"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65</w:t>
            </w:r>
          </w:p>
        </w:tc>
        <w:tc>
          <w:tcPr>
            <w:tcW w:w="1756" w:type="dxa"/>
            <w:shd w:val="clear" w:color="auto" w:fill="auto"/>
            <w:vAlign w:val="center"/>
          </w:tcPr>
          <w:p w14:paraId="42CE730E"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Very Good</w:t>
            </w:r>
          </w:p>
        </w:tc>
        <w:tc>
          <w:tcPr>
            <w:tcW w:w="1756" w:type="dxa"/>
            <w:shd w:val="clear" w:color="auto" w:fill="auto"/>
            <w:vAlign w:val="center"/>
          </w:tcPr>
          <w:p w14:paraId="0520C864"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77%</w:t>
            </w:r>
          </w:p>
        </w:tc>
        <w:tc>
          <w:tcPr>
            <w:tcW w:w="1756" w:type="dxa"/>
            <w:shd w:val="clear" w:color="auto" w:fill="auto"/>
            <w:vAlign w:val="center"/>
          </w:tcPr>
          <w:p w14:paraId="55B451CF"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17.2</w:t>
            </w:r>
          </w:p>
        </w:tc>
        <w:tc>
          <w:tcPr>
            <w:tcW w:w="1756" w:type="dxa"/>
            <w:shd w:val="clear" w:color="auto" w:fill="auto"/>
            <w:vAlign w:val="center"/>
          </w:tcPr>
          <w:p w14:paraId="01B355DC"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3.6</w:t>
            </w:r>
          </w:p>
        </w:tc>
      </w:tr>
      <w:tr w:rsidR="00022ADC" w14:paraId="4D04436F" w14:textId="77777777" w:rsidTr="00127924">
        <w:trPr>
          <w:trHeight w:val="183"/>
        </w:trPr>
        <w:tc>
          <w:tcPr>
            <w:tcW w:w="1756" w:type="dxa"/>
            <w:shd w:val="clear" w:color="auto" w:fill="auto"/>
            <w:vAlign w:val="center"/>
          </w:tcPr>
          <w:p w14:paraId="663CD267"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11</w:t>
            </w:r>
          </w:p>
        </w:tc>
        <w:tc>
          <w:tcPr>
            <w:tcW w:w="1756" w:type="dxa"/>
            <w:shd w:val="clear" w:color="auto" w:fill="auto"/>
            <w:vAlign w:val="center"/>
          </w:tcPr>
          <w:p w14:paraId="4660A95C"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Good</w:t>
            </w:r>
          </w:p>
        </w:tc>
        <w:tc>
          <w:tcPr>
            <w:tcW w:w="1756" w:type="dxa"/>
            <w:shd w:val="clear" w:color="auto" w:fill="auto"/>
            <w:vAlign w:val="center"/>
          </w:tcPr>
          <w:p w14:paraId="054E1680"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13%</w:t>
            </w:r>
          </w:p>
        </w:tc>
        <w:tc>
          <w:tcPr>
            <w:tcW w:w="1756" w:type="dxa"/>
            <w:shd w:val="clear" w:color="auto" w:fill="auto"/>
            <w:vAlign w:val="center"/>
          </w:tcPr>
          <w:p w14:paraId="1FC1EB71"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27.8</w:t>
            </w:r>
          </w:p>
        </w:tc>
        <w:tc>
          <w:tcPr>
            <w:tcW w:w="1756" w:type="dxa"/>
            <w:shd w:val="clear" w:color="auto" w:fill="auto"/>
            <w:vAlign w:val="center"/>
          </w:tcPr>
          <w:p w14:paraId="6D7217B4"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3.2</w:t>
            </w:r>
          </w:p>
        </w:tc>
      </w:tr>
      <w:tr w:rsidR="00022ADC" w14:paraId="2E78B75F" w14:textId="77777777" w:rsidTr="00127924">
        <w:trPr>
          <w:trHeight w:val="521"/>
        </w:trPr>
        <w:tc>
          <w:tcPr>
            <w:tcW w:w="1756" w:type="dxa"/>
            <w:shd w:val="clear" w:color="auto" w:fill="auto"/>
            <w:vAlign w:val="center"/>
          </w:tcPr>
          <w:p w14:paraId="379BDAA8"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5</w:t>
            </w:r>
          </w:p>
        </w:tc>
        <w:tc>
          <w:tcPr>
            <w:tcW w:w="1756" w:type="dxa"/>
            <w:shd w:val="clear" w:color="auto" w:fill="auto"/>
            <w:vAlign w:val="center"/>
          </w:tcPr>
          <w:p w14:paraId="712036FF"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Suggested Improvement</w:t>
            </w:r>
          </w:p>
        </w:tc>
        <w:tc>
          <w:tcPr>
            <w:tcW w:w="1756" w:type="dxa"/>
            <w:shd w:val="clear" w:color="auto" w:fill="auto"/>
            <w:vAlign w:val="center"/>
          </w:tcPr>
          <w:p w14:paraId="7BEAB7EA"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6%</w:t>
            </w:r>
          </w:p>
        </w:tc>
        <w:tc>
          <w:tcPr>
            <w:tcW w:w="1756" w:type="dxa"/>
            <w:shd w:val="clear" w:color="auto" w:fill="auto"/>
            <w:vAlign w:val="center"/>
          </w:tcPr>
          <w:p w14:paraId="769E7FC5"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31.4</w:t>
            </w:r>
          </w:p>
        </w:tc>
        <w:tc>
          <w:tcPr>
            <w:tcW w:w="1756" w:type="dxa"/>
            <w:shd w:val="clear" w:color="auto" w:fill="auto"/>
            <w:vAlign w:val="center"/>
          </w:tcPr>
          <w:p w14:paraId="39989AD5"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3.0</w:t>
            </w:r>
          </w:p>
        </w:tc>
      </w:tr>
      <w:tr w:rsidR="00022ADC" w14:paraId="10BBED07" w14:textId="77777777" w:rsidTr="00127924">
        <w:trPr>
          <w:trHeight w:val="183"/>
        </w:trPr>
        <w:tc>
          <w:tcPr>
            <w:tcW w:w="1756" w:type="dxa"/>
            <w:shd w:val="clear" w:color="auto" w:fill="auto"/>
            <w:vAlign w:val="center"/>
          </w:tcPr>
          <w:p w14:paraId="681F70C1"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3</w:t>
            </w:r>
          </w:p>
        </w:tc>
        <w:tc>
          <w:tcPr>
            <w:tcW w:w="1756" w:type="dxa"/>
            <w:shd w:val="clear" w:color="auto" w:fill="auto"/>
            <w:vAlign w:val="center"/>
          </w:tcPr>
          <w:p w14:paraId="193593A0"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Poor</w:t>
            </w:r>
          </w:p>
        </w:tc>
        <w:tc>
          <w:tcPr>
            <w:tcW w:w="1756" w:type="dxa"/>
            <w:shd w:val="clear" w:color="auto" w:fill="auto"/>
            <w:vAlign w:val="center"/>
          </w:tcPr>
          <w:p w14:paraId="376D301A"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4%</w:t>
            </w:r>
          </w:p>
        </w:tc>
        <w:tc>
          <w:tcPr>
            <w:tcW w:w="1756" w:type="dxa"/>
            <w:shd w:val="clear" w:color="auto" w:fill="auto"/>
            <w:vAlign w:val="center"/>
          </w:tcPr>
          <w:p w14:paraId="72DB1A27"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34.0</w:t>
            </w:r>
          </w:p>
        </w:tc>
        <w:tc>
          <w:tcPr>
            <w:tcW w:w="1756" w:type="dxa"/>
            <w:shd w:val="clear" w:color="auto" w:fill="auto"/>
            <w:vAlign w:val="center"/>
          </w:tcPr>
          <w:p w14:paraId="5A8739A9"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2.4</w:t>
            </w:r>
          </w:p>
        </w:tc>
      </w:tr>
      <w:tr w:rsidR="00022ADC" w14:paraId="0AD4F65A" w14:textId="77777777" w:rsidTr="00127924">
        <w:trPr>
          <w:trHeight w:val="196"/>
        </w:trPr>
        <w:tc>
          <w:tcPr>
            <w:tcW w:w="1756" w:type="dxa"/>
            <w:tcBorders>
              <w:bottom w:val="single" w:sz="4" w:space="0" w:color="000000"/>
            </w:tcBorders>
            <w:shd w:val="clear" w:color="auto" w:fill="auto"/>
            <w:vAlign w:val="center"/>
          </w:tcPr>
          <w:p w14:paraId="1480D6D9"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PR 8</w:t>
            </w:r>
          </w:p>
        </w:tc>
        <w:tc>
          <w:tcPr>
            <w:tcW w:w="1756" w:type="dxa"/>
            <w:tcBorders>
              <w:bottom w:val="single" w:sz="4" w:space="0" w:color="000000"/>
            </w:tcBorders>
            <w:shd w:val="clear" w:color="auto" w:fill="auto"/>
            <w:vAlign w:val="center"/>
          </w:tcPr>
          <w:p w14:paraId="2DBF0A3D"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c>
          <w:tcPr>
            <w:tcW w:w="1756" w:type="dxa"/>
            <w:tcBorders>
              <w:bottom w:val="single" w:sz="4" w:space="0" w:color="000000"/>
            </w:tcBorders>
            <w:shd w:val="clear" w:color="auto" w:fill="auto"/>
            <w:vAlign w:val="center"/>
          </w:tcPr>
          <w:p w14:paraId="14F8A3F9"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c>
          <w:tcPr>
            <w:tcW w:w="1756" w:type="dxa"/>
            <w:tcBorders>
              <w:bottom w:val="single" w:sz="4" w:space="0" w:color="000000"/>
            </w:tcBorders>
            <w:shd w:val="clear" w:color="auto" w:fill="auto"/>
            <w:vAlign w:val="center"/>
          </w:tcPr>
          <w:p w14:paraId="21B74AD2"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c>
          <w:tcPr>
            <w:tcW w:w="1756" w:type="dxa"/>
            <w:tcBorders>
              <w:bottom w:val="single" w:sz="4" w:space="0" w:color="000000"/>
            </w:tcBorders>
            <w:shd w:val="clear" w:color="auto" w:fill="auto"/>
            <w:vAlign w:val="center"/>
          </w:tcPr>
          <w:p w14:paraId="0FBE1915" w14:textId="77777777" w:rsidR="00022ADC" w:rsidRDefault="00022ADC" w:rsidP="00127924">
            <w:pPr>
              <w:suppressAutoHyphens w:val="0"/>
              <w:spacing w:after="0" w:line="240" w:lineRule="auto"/>
              <w:jc w:val="center"/>
              <w:rPr>
                <w:rFonts w:ascii="Times New Roman" w:eastAsia="Times New Roman" w:hAnsi="Times New Roman" w:cs="Times New Roman"/>
                <w:b/>
                <w:bCs/>
                <w:color w:val="000000" w:themeColor="text1"/>
                <w:sz w:val="18"/>
                <w:szCs w:val="18"/>
                <w:lang w:eastAsia="sv-SE"/>
              </w:rPr>
            </w:pPr>
            <w:r>
              <w:rPr>
                <w:rFonts w:ascii="Times New Roman" w:eastAsia="Times New Roman" w:hAnsi="Times New Roman" w:cs="Times New Roman"/>
                <w:b/>
                <w:bCs/>
                <w:color w:val="000000" w:themeColor="text1"/>
                <w:sz w:val="18"/>
                <w:szCs w:val="18"/>
                <w:lang w:val="en-US" w:eastAsia="sv-SE"/>
              </w:rPr>
              <w:t> </w:t>
            </w:r>
          </w:p>
        </w:tc>
      </w:tr>
      <w:tr w:rsidR="00022ADC" w14:paraId="5705C9DF" w14:textId="77777777" w:rsidTr="00127924">
        <w:trPr>
          <w:trHeight w:val="183"/>
        </w:trPr>
        <w:tc>
          <w:tcPr>
            <w:tcW w:w="1756" w:type="dxa"/>
            <w:shd w:val="clear" w:color="auto" w:fill="auto"/>
            <w:vAlign w:val="center"/>
          </w:tcPr>
          <w:p w14:paraId="26FB8542"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47</w:t>
            </w:r>
          </w:p>
        </w:tc>
        <w:tc>
          <w:tcPr>
            <w:tcW w:w="1756" w:type="dxa"/>
            <w:shd w:val="clear" w:color="auto" w:fill="auto"/>
            <w:vAlign w:val="center"/>
          </w:tcPr>
          <w:p w14:paraId="1A33EF0C"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Very Good</w:t>
            </w:r>
          </w:p>
        </w:tc>
        <w:tc>
          <w:tcPr>
            <w:tcW w:w="1756" w:type="dxa"/>
            <w:shd w:val="clear" w:color="auto" w:fill="auto"/>
            <w:vAlign w:val="center"/>
          </w:tcPr>
          <w:p w14:paraId="5566706E"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94%</w:t>
            </w:r>
          </w:p>
        </w:tc>
        <w:tc>
          <w:tcPr>
            <w:tcW w:w="1756" w:type="dxa"/>
            <w:shd w:val="clear" w:color="auto" w:fill="auto"/>
            <w:vAlign w:val="center"/>
          </w:tcPr>
          <w:p w14:paraId="55F41A54"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7.8</w:t>
            </w:r>
          </w:p>
        </w:tc>
        <w:tc>
          <w:tcPr>
            <w:tcW w:w="1756" w:type="dxa"/>
            <w:shd w:val="clear" w:color="auto" w:fill="auto"/>
            <w:vAlign w:val="center"/>
          </w:tcPr>
          <w:p w14:paraId="10A2F7B6"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3.1</w:t>
            </w:r>
          </w:p>
        </w:tc>
      </w:tr>
      <w:tr w:rsidR="00022ADC" w14:paraId="4C1A571B" w14:textId="77777777" w:rsidTr="00127924">
        <w:trPr>
          <w:trHeight w:val="521"/>
        </w:trPr>
        <w:tc>
          <w:tcPr>
            <w:tcW w:w="1756" w:type="dxa"/>
            <w:shd w:val="clear" w:color="auto" w:fill="auto"/>
            <w:vAlign w:val="center"/>
          </w:tcPr>
          <w:p w14:paraId="141E582A"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w:t>
            </w:r>
          </w:p>
        </w:tc>
        <w:tc>
          <w:tcPr>
            <w:tcW w:w="1756" w:type="dxa"/>
            <w:shd w:val="clear" w:color="auto" w:fill="auto"/>
            <w:vAlign w:val="center"/>
          </w:tcPr>
          <w:p w14:paraId="6B29092A"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Good</w:t>
            </w:r>
          </w:p>
        </w:tc>
        <w:tc>
          <w:tcPr>
            <w:tcW w:w="1756" w:type="dxa"/>
            <w:shd w:val="clear" w:color="auto" w:fill="auto"/>
            <w:vAlign w:val="center"/>
          </w:tcPr>
          <w:p w14:paraId="20517C28"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4%</w:t>
            </w:r>
          </w:p>
        </w:tc>
        <w:tc>
          <w:tcPr>
            <w:tcW w:w="1756" w:type="dxa"/>
            <w:shd w:val="clear" w:color="auto" w:fill="auto"/>
            <w:vAlign w:val="center"/>
          </w:tcPr>
          <w:p w14:paraId="7114D395"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20.5</w:t>
            </w:r>
          </w:p>
        </w:tc>
        <w:tc>
          <w:tcPr>
            <w:tcW w:w="1756" w:type="dxa"/>
            <w:shd w:val="clear" w:color="auto" w:fill="auto"/>
            <w:vAlign w:val="center"/>
          </w:tcPr>
          <w:p w14:paraId="4705FF27"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2.3</w:t>
            </w:r>
          </w:p>
        </w:tc>
      </w:tr>
      <w:tr w:rsidR="00022ADC" w14:paraId="37C5F9C4" w14:textId="77777777" w:rsidTr="00127924">
        <w:trPr>
          <w:trHeight w:val="532"/>
        </w:trPr>
        <w:tc>
          <w:tcPr>
            <w:tcW w:w="1756" w:type="dxa"/>
            <w:tcBorders>
              <w:bottom w:val="single" w:sz="4" w:space="0" w:color="000000"/>
            </w:tcBorders>
            <w:shd w:val="clear" w:color="auto" w:fill="auto"/>
            <w:vAlign w:val="center"/>
          </w:tcPr>
          <w:p w14:paraId="298C7BC7"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lastRenderedPageBreak/>
              <w:t>1</w:t>
            </w:r>
          </w:p>
        </w:tc>
        <w:tc>
          <w:tcPr>
            <w:tcW w:w="1756" w:type="dxa"/>
            <w:tcBorders>
              <w:bottom w:val="single" w:sz="4" w:space="0" w:color="000000"/>
            </w:tcBorders>
            <w:shd w:val="clear" w:color="auto" w:fill="auto"/>
            <w:vAlign w:val="center"/>
          </w:tcPr>
          <w:p w14:paraId="0D755A63"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Suggested Improvement</w:t>
            </w:r>
          </w:p>
        </w:tc>
        <w:tc>
          <w:tcPr>
            <w:tcW w:w="1756" w:type="dxa"/>
            <w:tcBorders>
              <w:bottom w:val="single" w:sz="4" w:space="0" w:color="000000"/>
            </w:tcBorders>
            <w:shd w:val="clear" w:color="auto" w:fill="auto"/>
            <w:vAlign w:val="center"/>
          </w:tcPr>
          <w:p w14:paraId="6A193A50"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2%</w:t>
            </w:r>
          </w:p>
        </w:tc>
        <w:tc>
          <w:tcPr>
            <w:tcW w:w="1756" w:type="dxa"/>
            <w:tcBorders>
              <w:bottom w:val="single" w:sz="4" w:space="0" w:color="000000"/>
            </w:tcBorders>
            <w:shd w:val="clear" w:color="auto" w:fill="auto"/>
            <w:vAlign w:val="center"/>
          </w:tcPr>
          <w:p w14:paraId="64DF11A9"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15.0</w:t>
            </w:r>
          </w:p>
        </w:tc>
        <w:tc>
          <w:tcPr>
            <w:tcW w:w="1756" w:type="dxa"/>
            <w:tcBorders>
              <w:bottom w:val="single" w:sz="4" w:space="0" w:color="000000"/>
            </w:tcBorders>
            <w:shd w:val="clear" w:color="auto" w:fill="auto"/>
            <w:vAlign w:val="center"/>
          </w:tcPr>
          <w:p w14:paraId="5CB5713C" w14:textId="77777777" w:rsidR="00022ADC" w:rsidRDefault="00022ADC" w:rsidP="00127924">
            <w:pPr>
              <w:suppressAutoHyphens w:val="0"/>
              <w:spacing w:after="0" w:line="240" w:lineRule="auto"/>
              <w:jc w:val="center"/>
              <w:rPr>
                <w:rFonts w:ascii="Times New Roman" w:eastAsia="Times New Roman" w:hAnsi="Times New Roman" w:cs="Times New Roman"/>
                <w:color w:val="000000" w:themeColor="text1"/>
                <w:sz w:val="18"/>
                <w:szCs w:val="18"/>
                <w:lang w:eastAsia="sv-SE"/>
              </w:rPr>
            </w:pPr>
            <w:r>
              <w:rPr>
                <w:rFonts w:ascii="Times New Roman" w:eastAsia="Times New Roman" w:hAnsi="Times New Roman" w:cs="Times New Roman"/>
                <w:color w:val="000000" w:themeColor="text1"/>
                <w:sz w:val="18"/>
                <w:szCs w:val="18"/>
                <w:lang w:val="en-US" w:eastAsia="sv-SE"/>
              </w:rPr>
              <w:t>1.3</w:t>
            </w:r>
          </w:p>
        </w:tc>
      </w:tr>
    </w:tbl>
    <w:p w14:paraId="410BAE6B" w14:textId="77777777" w:rsidR="00022ADC" w:rsidRDefault="00022ADC" w:rsidP="00CE3663">
      <w:pPr>
        <w:pStyle w:val="Rubrik3"/>
        <w:rPr>
          <w:lang w:val="en-US"/>
        </w:rPr>
      </w:pPr>
      <w:bookmarkStart w:id="15" w:name="_Toc147493692"/>
      <w:bookmarkStart w:id="16" w:name="_Toc152330775"/>
      <w:r>
        <w:rPr>
          <w:lang w:val="en-US"/>
        </w:rPr>
        <w:t>Table SI 6.  Significance of changes in SOC between S1 and S2 based on Wilcoxon non-parametrical test (95% confidence interval) for the eight production regions (P08) and the Ley Frequency groups. Bold values = statistically significant (p&lt;0.05).</w:t>
      </w:r>
      <w:bookmarkEnd w:id="15"/>
      <w:bookmarkEnd w:id="16"/>
    </w:p>
    <w:p w14:paraId="782F0D05" w14:textId="77777777" w:rsidR="00022ADC" w:rsidRDefault="00022ADC" w:rsidP="00022ADC">
      <w:pPr>
        <w:rPr>
          <w:rFonts w:ascii="Times New Roman" w:hAnsi="Times New Roman" w:cs="Times New Roman"/>
          <w:color w:val="000000" w:themeColor="text1"/>
          <w:lang w:val="en-US"/>
        </w:rPr>
      </w:pPr>
    </w:p>
    <w:tbl>
      <w:tblPr>
        <w:tblStyle w:val="Tabellrutnt"/>
        <w:tblW w:w="9016" w:type="dxa"/>
        <w:tblLayout w:type="fixed"/>
        <w:tblLook w:val="04A0" w:firstRow="1" w:lastRow="0" w:firstColumn="1" w:lastColumn="0" w:noHBand="0" w:noVBand="1"/>
      </w:tblPr>
      <w:tblGrid>
        <w:gridCol w:w="1129"/>
        <w:gridCol w:w="851"/>
        <w:gridCol w:w="851"/>
        <w:gridCol w:w="851"/>
        <w:gridCol w:w="850"/>
        <w:gridCol w:w="993"/>
        <w:gridCol w:w="991"/>
        <w:gridCol w:w="851"/>
        <w:gridCol w:w="851"/>
        <w:gridCol w:w="798"/>
      </w:tblGrid>
      <w:tr w:rsidR="00022ADC" w14:paraId="4ED2931D" w14:textId="77777777" w:rsidTr="00127924">
        <w:trPr>
          <w:trHeight w:val="200"/>
        </w:trPr>
        <w:tc>
          <w:tcPr>
            <w:tcW w:w="1128" w:type="dxa"/>
            <w:tcBorders>
              <w:left w:val="nil"/>
              <w:right w:val="nil"/>
            </w:tcBorders>
          </w:tcPr>
          <w:p w14:paraId="401363F7" w14:textId="77777777" w:rsidR="00022ADC" w:rsidRDefault="00022ADC" w:rsidP="00127924">
            <w:pPr>
              <w:spacing w:after="0" w:line="240" w:lineRule="auto"/>
              <w:rPr>
                <w:rFonts w:ascii="Times New Roman" w:hAnsi="Times New Roman" w:cs="Times New Roman"/>
                <w:color w:val="000000" w:themeColor="text1"/>
                <w:sz w:val="18"/>
                <w:szCs w:val="18"/>
              </w:rPr>
            </w:pPr>
            <w:r>
              <w:rPr>
                <w:rFonts w:ascii="Times New Roman" w:eastAsia="Calibri" w:hAnsi="Times New Roman" w:cs="Times New Roman"/>
                <w:color w:val="000000" w:themeColor="text1"/>
                <w:sz w:val="18"/>
                <w:szCs w:val="18"/>
              </w:rPr>
              <w:t xml:space="preserve">P08 </w:t>
            </w:r>
          </w:p>
        </w:tc>
        <w:tc>
          <w:tcPr>
            <w:tcW w:w="851" w:type="dxa"/>
            <w:tcBorders>
              <w:left w:val="nil"/>
              <w:right w:val="nil"/>
            </w:tcBorders>
          </w:tcPr>
          <w:p w14:paraId="42EECAFB" w14:textId="77777777" w:rsidR="00022ADC" w:rsidRDefault="00022ADC" w:rsidP="00127924">
            <w:pPr>
              <w:spacing w:after="0" w:line="240" w:lineRule="auto"/>
              <w:rPr>
                <w:rFonts w:ascii="Times New Roman" w:hAnsi="Times New Roman" w:cs="Times New Roman"/>
                <w:color w:val="000000" w:themeColor="text1"/>
                <w:sz w:val="18"/>
                <w:szCs w:val="18"/>
              </w:rPr>
            </w:pPr>
            <w:r>
              <w:rPr>
                <w:rFonts w:ascii="Times New Roman" w:eastAsia="Calibri" w:hAnsi="Times New Roman" w:cs="Times New Roman"/>
                <w:color w:val="000000" w:themeColor="text1"/>
                <w:sz w:val="18"/>
                <w:szCs w:val="18"/>
              </w:rPr>
              <w:t>Total samples</w:t>
            </w:r>
          </w:p>
        </w:tc>
        <w:tc>
          <w:tcPr>
            <w:tcW w:w="851" w:type="dxa"/>
            <w:tcBorders>
              <w:left w:val="nil"/>
              <w:right w:val="nil"/>
            </w:tcBorders>
          </w:tcPr>
          <w:p w14:paraId="5DEDC743" w14:textId="77777777" w:rsidR="00022ADC" w:rsidRDefault="00022ADC" w:rsidP="00127924">
            <w:pPr>
              <w:spacing w:after="0" w:line="240" w:lineRule="auto"/>
              <w:rPr>
                <w:rFonts w:ascii="Times New Roman" w:hAnsi="Times New Roman" w:cs="Times New Roman"/>
                <w:color w:val="000000" w:themeColor="text1"/>
                <w:sz w:val="18"/>
                <w:szCs w:val="18"/>
              </w:rPr>
            </w:pPr>
            <w:r>
              <w:rPr>
                <w:rFonts w:ascii="Times New Roman" w:eastAsia="Calibri" w:hAnsi="Times New Roman" w:cs="Times New Roman"/>
                <w:color w:val="000000" w:themeColor="text1"/>
                <w:sz w:val="18"/>
                <w:szCs w:val="18"/>
              </w:rPr>
              <w:t>1</w:t>
            </w:r>
          </w:p>
        </w:tc>
        <w:tc>
          <w:tcPr>
            <w:tcW w:w="851" w:type="dxa"/>
            <w:tcBorders>
              <w:left w:val="nil"/>
              <w:right w:val="nil"/>
            </w:tcBorders>
          </w:tcPr>
          <w:p w14:paraId="06024B81" w14:textId="77777777" w:rsidR="00022ADC" w:rsidRDefault="00022ADC" w:rsidP="00127924">
            <w:pPr>
              <w:spacing w:after="0" w:line="240" w:lineRule="auto"/>
              <w:rPr>
                <w:rFonts w:ascii="Times New Roman" w:hAnsi="Times New Roman" w:cs="Times New Roman"/>
                <w:color w:val="000000" w:themeColor="text1"/>
                <w:sz w:val="18"/>
                <w:szCs w:val="18"/>
              </w:rPr>
            </w:pPr>
            <w:r>
              <w:rPr>
                <w:rFonts w:ascii="Times New Roman" w:eastAsia="Calibri" w:hAnsi="Times New Roman" w:cs="Times New Roman"/>
                <w:color w:val="000000" w:themeColor="text1"/>
                <w:sz w:val="18"/>
                <w:szCs w:val="18"/>
              </w:rPr>
              <w:t>2</w:t>
            </w:r>
          </w:p>
        </w:tc>
        <w:tc>
          <w:tcPr>
            <w:tcW w:w="850" w:type="dxa"/>
            <w:tcBorders>
              <w:left w:val="nil"/>
              <w:right w:val="nil"/>
            </w:tcBorders>
          </w:tcPr>
          <w:p w14:paraId="21175880" w14:textId="77777777" w:rsidR="00022ADC" w:rsidRDefault="00022ADC" w:rsidP="00127924">
            <w:pPr>
              <w:spacing w:after="0" w:line="240" w:lineRule="auto"/>
              <w:rPr>
                <w:rFonts w:ascii="Times New Roman" w:hAnsi="Times New Roman" w:cs="Times New Roman"/>
                <w:color w:val="000000" w:themeColor="text1"/>
                <w:sz w:val="18"/>
                <w:szCs w:val="18"/>
              </w:rPr>
            </w:pPr>
            <w:r>
              <w:rPr>
                <w:rFonts w:ascii="Times New Roman" w:eastAsia="Calibri" w:hAnsi="Times New Roman" w:cs="Times New Roman"/>
                <w:color w:val="000000" w:themeColor="text1"/>
                <w:sz w:val="18"/>
                <w:szCs w:val="18"/>
              </w:rPr>
              <w:t>S</w:t>
            </w:r>
          </w:p>
        </w:tc>
        <w:tc>
          <w:tcPr>
            <w:tcW w:w="993" w:type="dxa"/>
            <w:tcBorders>
              <w:left w:val="nil"/>
              <w:right w:val="nil"/>
            </w:tcBorders>
          </w:tcPr>
          <w:p w14:paraId="17AAE8AA" w14:textId="77777777" w:rsidR="00022ADC" w:rsidRDefault="00022ADC" w:rsidP="00127924">
            <w:pPr>
              <w:spacing w:after="0" w:line="240" w:lineRule="auto"/>
              <w:rPr>
                <w:rFonts w:ascii="Times New Roman" w:hAnsi="Times New Roman" w:cs="Times New Roman"/>
                <w:color w:val="000000" w:themeColor="text1"/>
                <w:sz w:val="18"/>
                <w:szCs w:val="18"/>
              </w:rPr>
            </w:pPr>
            <w:r>
              <w:rPr>
                <w:rFonts w:ascii="Times New Roman" w:eastAsia="Calibri" w:hAnsi="Times New Roman" w:cs="Times New Roman"/>
                <w:color w:val="000000" w:themeColor="text1"/>
                <w:sz w:val="18"/>
                <w:szCs w:val="18"/>
              </w:rPr>
              <w:t>4</w:t>
            </w:r>
          </w:p>
        </w:tc>
        <w:tc>
          <w:tcPr>
            <w:tcW w:w="991" w:type="dxa"/>
            <w:tcBorders>
              <w:left w:val="nil"/>
              <w:right w:val="nil"/>
            </w:tcBorders>
          </w:tcPr>
          <w:p w14:paraId="12AC8426" w14:textId="77777777" w:rsidR="00022ADC" w:rsidRDefault="00022ADC" w:rsidP="00127924">
            <w:pPr>
              <w:spacing w:after="0" w:line="240" w:lineRule="auto"/>
              <w:rPr>
                <w:rFonts w:ascii="Times New Roman" w:hAnsi="Times New Roman" w:cs="Times New Roman"/>
                <w:color w:val="000000" w:themeColor="text1"/>
                <w:sz w:val="18"/>
                <w:szCs w:val="18"/>
              </w:rPr>
            </w:pPr>
            <w:r>
              <w:rPr>
                <w:rFonts w:ascii="Times New Roman" w:eastAsia="Calibri" w:hAnsi="Times New Roman" w:cs="Times New Roman"/>
                <w:color w:val="000000" w:themeColor="text1"/>
                <w:sz w:val="18"/>
                <w:szCs w:val="18"/>
              </w:rPr>
              <w:t>5</w:t>
            </w:r>
          </w:p>
        </w:tc>
        <w:tc>
          <w:tcPr>
            <w:tcW w:w="851" w:type="dxa"/>
            <w:tcBorders>
              <w:left w:val="nil"/>
              <w:right w:val="nil"/>
            </w:tcBorders>
          </w:tcPr>
          <w:p w14:paraId="7F5656BB" w14:textId="77777777" w:rsidR="00022ADC" w:rsidRDefault="00022ADC" w:rsidP="00127924">
            <w:pPr>
              <w:spacing w:after="0" w:line="240" w:lineRule="auto"/>
              <w:rPr>
                <w:rFonts w:ascii="Times New Roman" w:hAnsi="Times New Roman" w:cs="Times New Roman"/>
                <w:color w:val="000000" w:themeColor="text1"/>
                <w:sz w:val="18"/>
                <w:szCs w:val="18"/>
              </w:rPr>
            </w:pPr>
            <w:r>
              <w:rPr>
                <w:rFonts w:ascii="Times New Roman" w:eastAsia="Calibri" w:hAnsi="Times New Roman" w:cs="Times New Roman"/>
                <w:color w:val="000000" w:themeColor="text1"/>
                <w:sz w:val="18"/>
                <w:szCs w:val="18"/>
              </w:rPr>
              <w:t>6</w:t>
            </w:r>
          </w:p>
        </w:tc>
        <w:tc>
          <w:tcPr>
            <w:tcW w:w="851" w:type="dxa"/>
            <w:tcBorders>
              <w:left w:val="nil"/>
              <w:right w:val="nil"/>
            </w:tcBorders>
          </w:tcPr>
          <w:p w14:paraId="2E4A353A" w14:textId="77777777" w:rsidR="00022ADC" w:rsidRDefault="00022ADC" w:rsidP="00127924">
            <w:pPr>
              <w:spacing w:after="0" w:line="240" w:lineRule="auto"/>
              <w:rPr>
                <w:rFonts w:ascii="Times New Roman" w:hAnsi="Times New Roman" w:cs="Times New Roman"/>
                <w:color w:val="000000" w:themeColor="text1"/>
                <w:sz w:val="18"/>
                <w:szCs w:val="18"/>
              </w:rPr>
            </w:pPr>
            <w:r>
              <w:rPr>
                <w:rFonts w:ascii="Times New Roman" w:eastAsia="Calibri" w:hAnsi="Times New Roman" w:cs="Times New Roman"/>
                <w:color w:val="000000" w:themeColor="text1"/>
                <w:sz w:val="18"/>
                <w:szCs w:val="18"/>
              </w:rPr>
              <w:t>7</w:t>
            </w:r>
          </w:p>
        </w:tc>
        <w:tc>
          <w:tcPr>
            <w:tcW w:w="798" w:type="dxa"/>
            <w:tcBorders>
              <w:left w:val="nil"/>
              <w:right w:val="nil"/>
            </w:tcBorders>
          </w:tcPr>
          <w:p w14:paraId="6FE8BE1F" w14:textId="77777777" w:rsidR="00022ADC" w:rsidRDefault="00022ADC" w:rsidP="00127924">
            <w:pPr>
              <w:spacing w:after="0" w:line="240" w:lineRule="auto"/>
              <w:rPr>
                <w:rFonts w:ascii="Times New Roman" w:hAnsi="Times New Roman" w:cs="Times New Roman"/>
                <w:color w:val="000000" w:themeColor="text1"/>
                <w:sz w:val="18"/>
                <w:szCs w:val="18"/>
              </w:rPr>
            </w:pPr>
            <w:r>
              <w:rPr>
                <w:rFonts w:ascii="Times New Roman" w:eastAsia="Calibri" w:hAnsi="Times New Roman" w:cs="Times New Roman"/>
                <w:color w:val="000000" w:themeColor="text1"/>
                <w:sz w:val="18"/>
                <w:szCs w:val="18"/>
              </w:rPr>
              <w:t>8</w:t>
            </w:r>
          </w:p>
        </w:tc>
      </w:tr>
      <w:tr w:rsidR="00022ADC" w14:paraId="08C13621" w14:textId="77777777" w:rsidTr="00127924">
        <w:trPr>
          <w:trHeight w:val="801"/>
        </w:trPr>
        <w:tc>
          <w:tcPr>
            <w:tcW w:w="1128" w:type="dxa"/>
            <w:tcBorders>
              <w:left w:val="nil"/>
              <w:right w:val="nil"/>
            </w:tcBorders>
          </w:tcPr>
          <w:p w14:paraId="7F629014" w14:textId="77777777" w:rsidR="00022ADC" w:rsidRDefault="00022ADC" w:rsidP="00127924">
            <w:pPr>
              <w:spacing w:after="0" w:line="240" w:lineRule="auto"/>
              <w:jc w:val="center"/>
              <w:rPr>
                <w:rFonts w:ascii="Times New Roman" w:hAnsi="Times New Roman" w:cs="Times New Roman"/>
                <w:color w:val="000000" w:themeColor="text1"/>
                <w:sz w:val="18"/>
                <w:szCs w:val="18"/>
              </w:rPr>
            </w:pPr>
            <w:r>
              <w:rPr>
                <w:rFonts w:ascii="Times New Roman" w:eastAsia="Calibri" w:hAnsi="Times New Roman" w:cs="Times New Roman"/>
                <w:i/>
                <w:iCs/>
                <w:color w:val="000000" w:themeColor="text1"/>
                <w:kern w:val="2"/>
                <w:sz w:val="18"/>
                <w:szCs w:val="18"/>
              </w:rPr>
              <w:t>P value</w:t>
            </w:r>
          </w:p>
        </w:tc>
        <w:tc>
          <w:tcPr>
            <w:tcW w:w="851" w:type="dxa"/>
            <w:tcBorders>
              <w:left w:val="nil"/>
              <w:right w:val="nil"/>
            </w:tcBorders>
          </w:tcPr>
          <w:p w14:paraId="033E5996" w14:textId="77777777" w:rsidR="00022ADC" w:rsidRDefault="00022ADC" w:rsidP="00127924">
            <w:pPr>
              <w:spacing w:after="0" w:line="240" w:lineRule="auto"/>
              <w:jc w:val="center"/>
              <w:rPr>
                <w:rFonts w:ascii="Calibri" w:eastAsia="Calibri" w:hAnsi="Calibri"/>
              </w:rPr>
            </w:pPr>
            <w:r w:rsidRPr="007340A9">
              <w:rPr>
                <w:rFonts w:ascii="Times New Roman" w:eastAsia="Calibri" w:hAnsi="Times New Roman" w:cs="Times New Roman"/>
                <w:b/>
                <w:bCs/>
                <w:color w:val="000000" w:themeColor="text1"/>
                <w:sz w:val="18"/>
                <w:szCs w:val="18"/>
              </w:rPr>
              <w:t>0.0064</w:t>
            </w:r>
          </w:p>
        </w:tc>
        <w:tc>
          <w:tcPr>
            <w:tcW w:w="851" w:type="dxa"/>
            <w:tcBorders>
              <w:left w:val="nil"/>
              <w:right w:val="nil"/>
            </w:tcBorders>
          </w:tcPr>
          <w:p w14:paraId="09FF8EF6" w14:textId="77777777" w:rsidR="00022ADC" w:rsidRDefault="00022ADC" w:rsidP="00127924">
            <w:pPr>
              <w:spacing w:after="0" w:line="240" w:lineRule="auto"/>
              <w:jc w:val="center"/>
              <w:rPr>
                <w:rFonts w:ascii="Times New Roman" w:hAnsi="Times New Roman" w:cs="Times New Roman"/>
                <w:color w:val="000000" w:themeColor="text1"/>
                <w:sz w:val="18"/>
                <w:szCs w:val="18"/>
              </w:rPr>
            </w:pPr>
            <w:r w:rsidRPr="007340A9">
              <w:rPr>
                <w:rFonts w:ascii="Times New Roman" w:eastAsia="Calibri" w:hAnsi="Times New Roman" w:cs="Times New Roman"/>
                <w:b/>
                <w:bCs/>
                <w:color w:val="000000" w:themeColor="text1"/>
                <w:sz w:val="18"/>
                <w:szCs w:val="18"/>
              </w:rPr>
              <w:t>0.01</w:t>
            </w:r>
          </w:p>
        </w:tc>
        <w:tc>
          <w:tcPr>
            <w:tcW w:w="851" w:type="dxa"/>
            <w:tcBorders>
              <w:left w:val="nil"/>
              <w:right w:val="nil"/>
            </w:tcBorders>
          </w:tcPr>
          <w:p w14:paraId="2C1C2114" w14:textId="77777777" w:rsidR="00022ADC" w:rsidRDefault="00022ADC" w:rsidP="00127924">
            <w:pPr>
              <w:spacing w:after="0" w:line="240" w:lineRule="auto"/>
              <w:jc w:val="center"/>
              <w:rPr>
                <w:rFonts w:ascii="Times New Roman" w:hAnsi="Times New Roman" w:cs="Times New Roman"/>
                <w:color w:val="000000" w:themeColor="text1"/>
                <w:sz w:val="18"/>
                <w:szCs w:val="18"/>
              </w:rPr>
            </w:pPr>
            <w:r w:rsidRPr="007340A9">
              <w:rPr>
                <w:rFonts w:ascii="Times New Roman" w:eastAsia="Calibri" w:hAnsi="Times New Roman" w:cs="Times New Roman"/>
                <w:b/>
                <w:bCs/>
                <w:color w:val="000000" w:themeColor="text1"/>
                <w:sz w:val="18"/>
                <w:szCs w:val="18"/>
              </w:rPr>
              <w:t>0.037</w:t>
            </w:r>
          </w:p>
        </w:tc>
        <w:tc>
          <w:tcPr>
            <w:tcW w:w="850" w:type="dxa"/>
            <w:tcBorders>
              <w:left w:val="nil"/>
              <w:right w:val="nil"/>
            </w:tcBorders>
          </w:tcPr>
          <w:p w14:paraId="4E2DBF17" w14:textId="77777777" w:rsidR="00022ADC" w:rsidRDefault="00022ADC" w:rsidP="00127924">
            <w:pPr>
              <w:spacing w:after="0" w:line="240" w:lineRule="auto"/>
              <w:jc w:val="center"/>
              <w:rPr>
                <w:rFonts w:ascii="Times New Roman" w:hAnsi="Times New Roman" w:cs="Times New Roman"/>
                <w:color w:val="000000" w:themeColor="text1"/>
                <w:sz w:val="18"/>
                <w:szCs w:val="18"/>
              </w:rPr>
            </w:pPr>
            <w:r w:rsidRPr="007340A9">
              <w:rPr>
                <w:rFonts w:ascii="Times New Roman" w:eastAsia="Calibri" w:hAnsi="Times New Roman" w:cs="Times New Roman"/>
                <w:b/>
                <w:bCs/>
                <w:color w:val="000000" w:themeColor="text1"/>
                <w:sz w:val="18"/>
                <w:szCs w:val="18"/>
              </w:rPr>
              <w:t>4e-06</w:t>
            </w:r>
          </w:p>
        </w:tc>
        <w:tc>
          <w:tcPr>
            <w:tcW w:w="993" w:type="dxa"/>
            <w:tcBorders>
              <w:left w:val="nil"/>
              <w:right w:val="nil"/>
            </w:tcBorders>
          </w:tcPr>
          <w:p w14:paraId="4C08C735" w14:textId="77777777" w:rsidR="00022ADC" w:rsidRDefault="00022ADC" w:rsidP="00127924">
            <w:pPr>
              <w:spacing w:after="0" w:line="240" w:lineRule="auto"/>
              <w:jc w:val="center"/>
              <w:rPr>
                <w:rFonts w:ascii="Times New Roman" w:hAnsi="Times New Roman" w:cs="Times New Roman"/>
                <w:color w:val="000000" w:themeColor="text1"/>
                <w:sz w:val="18"/>
                <w:szCs w:val="18"/>
              </w:rPr>
            </w:pPr>
            <w:r w:rsidRPr="007340A9">
              <w:rPr>
                <w:rFonts w:ascii="Times New Roman" w:eastAsia="Calibri" w:hAnsi="Times New Roman" w:cs="Times New Roman"/>
                <w:b/>
                <w:bCs/>
                <w:color w:val="000000" w:themeColor="text1"/>
                <w:sz w:val="18"/>
                <w:szCs w:val="18"/>
              </w:rPr>
              <w:t>0.0034</w:t>
            </w:r>
          </w:p>
        </w:tc>
        <w:tc>
          <w:tcPr>
            <w:tcW w:w="991" w:type="dxa"/>
            <w:tcBorders>
              <w:left w:val="nil"/>
              <w:right w:val="nil"/>
            </w:tcBorders>
          </w:tcPr>
          <w:p w14:paraId="07CF295A" w14:textId="77777777" w:rsidR="00022ADC" w:rsidRDefault="00022ADC" w:rsidP="00127924">
            <w:pPr>
              <w:spacing w:after="0" w:line="240" w:lineRule="auto"/>
              <w:jc w:val="center"/>
              <w:rPr>
                <w:rFonts w:ascii="Times New Roman" w:hAnsi="Times New Roman" w:cs="Times New Roman"/>
                <w:color w:val="000000" w:themeColor="text1"/>
                <w:sz w:val="18"/>
                <w:szCs w:val="18"/>
              </w:rPr>
            </w:pPr>
            <w:r>
              <w:rPr>
                <w:rFonts w:ascii="Times New Roman" w:eastAsia="Calibri" w:hAnsi="Times New Roman" w:cs="Times New Roman"/>
                <w:color w:val="000000" w:themeColor="text1"/>
                <w:sz w:val="18"/>
                <w:szCs w:val="18"/>
              </w:rPr>
              <w:t>0.0648</w:t>
            </w:r>
          </w:p>
        </w:tc>
        <w:tc>
          <w:tcPr>
            <w:tcW w:w="851" w:type="dxa"/>
            <w:tcBorders>
              <w:left w:val="nil"/>
              <w:right w:val="nil"/>
            </w:tcBorders>
          </w:tcPr>
          <w:p w14:paraId="31722728" w14:textId="77777777" w:rsidR="00022ADC" w:rsidRDefault="00022ADC" w:rsidP="00127924">
            <w:pPr>
              <w:spacing w:after="0" w:line="240" w:lineRule="auto"/>
              <w:jc w:val="center"/>
              <w:rPr>
                <w:rFonts w:ascii="Times New Roman" w:hAnsi="Times New Roman" w:cs="Times New Roman"/>
                <w:color w:val="000000" w:themeColor="text1"/>
                <w:sz w:val="18"/>
                <w:szCs w:val="18"/>
              </w:rPr>
            </w:pPr>
            <w:r w:rsidRPr="007340A9">
              <w:rPr>
                <w:rFonts w:ascii="Times New Roman" w:eastAsia="Calibri" w:hAnsi="Times New Roman" w:cs="Times New Roman"/>
                <w:b/>
                <w:bCs/>
                <w:color w:val="000000" w:themeColor="text1"/>
                <w:sz w:val="18"/>
                <w:szCs w:val="18"/>
              </w:rPr>
              <w:t>0.002</w:t>
            </w:r>
          </w:p>
        </w:tc>
        <w:tc>
          <w:tcPr>
            <w:tcW w:w="851" w:type="dxa"/>
            <w:tcBorders>
              <w:left w:val="nil"/>
              <w:right w:val="nil"/>
            </w:tcBorders>
          </w:tcPr>
          <w:p w14:paraId="0354EB9F" w14:textId="77777777" w:rsidR="00022ADC" w:rsidRDefault="00022ADC" w:rsidP="00127924">
            <w:pPr>
              <w:spacing w:after="0" w:line="240" w:lineRule="auto"/>
              <w:jc w:val="center"/>
              <w:rPr>
                <w:rFonts w:ascii="Times New Roman" w:hAnsi="Times New Roman" w:cs="Times New Roman"/>
                <w:color w:val="000000" w:themeColor="text1"/>
                <w:sz w:val="18"/>
                <w:szCs w:val="18"/>
              </w:rPr>
            </w:pPr>
            <w:r>
              <w:rPr>
                <w:rFonts w:ascii="Times New Roman" w:eastAsia="Calibri" w:hAnsi="Times New Roman" w:cs="Times New Roman"/>
                <w:color w:val="000000" w:themeColor="text1"/>
                <w:sz w:val="18"/>
                <w:szCs w:val="18"/>
              </w:rPr>
              <w:t>0.40</w:t>
            </w:r>
          </w:p>
        </w:tc>
        <w:tc>
          <w:tcPr>
            <w:tcW w:w="798" w:type="dxa"/>
            <w:tcBorders>
              <w:left w:val="nil"/>
              <w:right w:val="nil"/>
            </w:tcBorders>
          </w:tcPr>
          <w:p w14:paraId="6BDFEE2D" w14:textId="77777777" w:rsidR="00022ADC" w:rsidRDefault="00022ADC" w:rsidP="00127924">
            <w:pPr>
              <w:spacing w:after="0" w:line="240" w:lineRule="auto"/>
              <w:jc w:val="center"/>
              <w:rPr>
                <w:rFonts w:ascii="Times New Roman" w:hAnsi="Times New Roman" w:cs="Times New Roman"/>
                <w:color w:val="000000" w:themeColor="text1"/>
                <w:sz w:val="18"/>
                <w:szCs w:val="18"/>
              </w:rPr>
            </w:pPr>
            <w:r>
              <w:rPr>
                <w:rFonts w:ascii="Times New Roman" w:eastAsia="Calibri" w:hAnsi="Times New Roman" w:cs="Times New Roman"/>
                <w:color w:val="000000" w:themeColor="text1"/>
                <w:sz w:val="18"/>
                <w:szCs w:val="18"/>
              </w:rPr>
              <w:t>0.79</w:t>
            </w:r>
          </w:p>
        </w:tc>
      </w:tr>
    </w:tbl>
    <w:p w14:paraId="77464B41" w14:textId="77777777" w:rsidR="00022ADC" w:rsidRDefault="00022ADC" w:rsidP="00022ADC">
      <w:pPr>
        <w:spacing w:after="0" w:line="240" w:lineRule="auto"/>
        <w:rPr>
          <w:rFonts w:ascii="Times New Roman" w:eastAsiaTheme="majorEastAsia" w:hAnsi="Times New Roman" w:cs="Times New Roman"/>
          <w:color w:val="000000" w:themeColor="text1"/>
          <w:sz w:val="32"/>
          <w:szCs w:val="32"/>
          <w:lang w:val="en-US"/>
        </w:rPr>
      </w:pPr>
    </w:p>
    <w:tbl>
      <w:tblPr>
        <w:tblStyle w:val="Tabellrutnt"/>
        <w:tblW w:w="9009" w:type="dxa"/>
        <w:tblLayout w:type="fixed"/>
        <w:tblLook w:val="04A0" w:firstRow="1" w:lastRow="0" w:firstColumn="1" w:lastColumn="0" w:noHBand="0" w:noVBand="1"/>
      </w:tblPr>
      <w:tblGrid>
        <w:gridCol w:w="1555"/>
        <w:gridCol w:w="1560"/>
        <w:gridCol w:w="992"/>
        <w:gridCol w:w="992"/>
        <w:gridCol w:w="992"/>
        <w:gridCol w:w="1055"/>
        <w:gridCol w:w="878"/>
        <w:gridCol w:w="985"/>
      </w:tblGrid>
      <w:tr w:rsidR="00022ADC" w14:paraId="49435912" w14:textId="77777777" w:rsidTr="00127924">
        <w:trPr>
          <w:trHeight w:val="190"/>
        </w:trPr>
        <w:tc>
          <w:tcPr>
            <w:tcW w:w="1554" w:type="dxa"/>
            <w:tcBorders>
              <w:left w:val="nil"/>
              <w:right w:val="nil"/>
            </w:tcBorders>
            <w:vAlign w:val="center"/>
          </w:tcPr>
          <w:p w14:paraId="5EC1F073" w14:textId="77777777" w:rsidR="00022ADC" w:rsidRDefault="00022ADC" w:rsidP="00127924">
            <w:pPr>
              <w:spacing w:after="0" w:line="240" w:lineRule="auto"/>
              <w:jc w:val="center"/>
              <w:rPr>
                <w:rFonts w:ascii="Times New Roman" w:hAnsi="Times New Roman" w:cs="Times New Roman"/>
                <w:color w:val="000000" w:themeColor="text1"/>
                <w:sz w:val="18"/>
                <w:szCs w:val="18"/>
              </w:rPr>
            </w:pPr>
            <w:r>
              <w:rPr>
                <w:rFonts w:ascii="Times New Roman" w:eastAsia="Calibri" w:hAnsi="Times New Roman" w:cs="Times New Roman"/>
                <w:color w:val="000000" w:themeColor="text1"/>
                <w:kern w:val="2"/>
                <w:sz w:val="18"/>
                <w:szCs w:val="18"/>
                <w14:ligatures w14:val="standardContextual"/>
              </w:rPr>
              <w:t> Ley Frequency groups</w:t>
            </w:r>
          </w:p>
        </w:tc>
        <w:tc>
          <w:tcPr>
            <w:tcW w:w="1560" w:type="dxa"/>
            <w:tcBorders>
              <w:left w:val="nil"/>
              <w:right w:val="nil"/>
            </w:tcBorders>
            <w:vAlign w:val="center"/>
          </w:tcPr>
          <w:p w14:paraId="51326516" w14:textId="77777777" w:rsidR="00022ADC" w:rsidRDefault="00022ADC" w:rsidP="00127924">
            <w:pPr>
              <w:spacing w:after="0" w:line="240" w:lineRule="auto"/>
              <w:jc w:val="center"/>
              <w:rPr>
                <w:rFonts w:ascii="Times New Roman" w:hAnsi="Times New Roman" w:cs="Times New Roman"/>
                <w:color w:val="000000" w:themeColor="text1"/>
                <w:sz w:val="18"/>
                <w:szCs w:val="18"/>
              </w:rPr>
            </w:pPr>
            <w:r>
              <w:rPr>
                <w:rFonts w:ascii="Times New Roman" w:eastAsia="Calibri" w:hAnsi="Times New Roman" w:cs="Times New Roman"/>
                <w:color w:val="000000" w:themeColor="text1"/>
                <w:kern w:val="2"/>
                <w:sz w:val="18"/>
                <w:szCs w:val="18"/>
                <w14:ligatures w14:val="standardContextual"/>
              </w:rPr>
              <w:t>Total Samples</w:t>
            </w:r>
          </w:p>
        </w:tc>
        <w:tc>
          <w:tcPr>
            <w:tcW w:w="992" w:type="dxa"/>
            <w:tcBorders>
              <w:left w:val="nil"/>
              <w:right w:val="nil"/>
            </w:tcBorders>
            <w:vAlign w:val="center"/>
          </w:tcPr>
          <w:p w14:paraId="155CD9C2" w14:textId="77777777" w:rsidR="00022ADC" w:rsidRDefault="00022ADC" w:rsidP="00127924">
            <w:pPr>
              <w:spacing w:after="0" w:line="240" w:lineRule="auto"/>
              <w:jc w:val="center"/>
              <w:rPr>
                <w:rFonts w:ascii="Times New Roman" w:hAnsi="Times New Roman" w:cs="Times New Roman"/>
                <w:color w:val="000000" w:themeColor="text1"/>
                <w:kern w:val="2"/>
                <w:sz w:val="18"/>
                <w:szCs w:val="18"/>
                <w14:ligatures w14:val="standardContextual"/>
              </w:rPr>
            </w:pPr>
            <w:r>
              <w:rPr>
                <w:rFonts w:ascii="Times New Roman" w:eastAsia="Calibri" w:hAnsi="Times New Roman" w:cs="Times New Roman"/>
                <w:color w:val="000000" w:themeColor="text1"/>
                <w:kern w:val="2"/>
                <w:sz w:val="18"/>
                <w:szCs w:val="18"/>
                <w14:ligatures w14:val="standardContextual"/>
              </w:rPr>
              <w:t>0%</w:t>
            </w:r>
          </w:p>
        </w:tc>
        <w:tc>
          <w:tcPr>
            <w:tcW w:w="992" w:type="dxa"/>
            <w:tcBorders>
              <w:left w:val="nil"/>
              <w:right w:val="nil"/>
            </w:tcBorders>
            <w:vAlign w:val="center"/>
          </w:tcPr>
          <w:p w14:paraId="261A9602" w14:textId="77777777" w:rsidR="00022ADC" w:rsidRDefault="00022ADC" w:rsidP="00127924">
            <w:pPr>
              <w:spacing w:after="0" w:line="240" w:lineRule="auto"/>
              <w:jc w:val="center"/>
              <w:rPr>
                <w:rFonts w:ascii="Times New Roman" w:hAnsi="Times New Roman" w:cs="Times New Roman"/>
                <w:color w:val="000000" w:themeColor="text1"/>
                <w:sz w:val="18"/>
                <w:szCs w:val="18"/>
              </w:rPr>
            </w:pPr>
            <w:r>
              <w:rPr>
                <w:rFonts w:ascii="Times New Roman" w:eastAsia="Calibri" w:hAnsi="Times New Roman" w:cs="Times New Roman"/>
                <w:color w:val="000000" w:themeColor="text1"/>
                <w:kern w:val="2"/>
                <w:sz w:val="18"/>
                <w:szCs w:val="18"/>
                <w14:ligatures w14:val="standardContextual"/>
              </w:rPr>
              <w:t>1-20 %</w:t>
            </w:r>
          </w:p>
        </w:tc>
        <w:tc>
          <w:tcPr>
            <w:tcW w:w="992" w:type="dxa"/>
            <w:tcBorders>
              <w:left w:val="nil"/>
              <w:right w:val="nil"/>
            </w:tcBorders>
            <w:vAlign w:val="center"/>
          </w:tcPr>
          <w:p w14:paraId="64F99CD9" w14:textId="77777777" w:rsidR="00022ADC" w:rsidRDefault="00022ADC" w:rsidP="00127924">
            <w:pPr>
              <w:spacing w:after="0" w:line="240" w:lineRule="auto"/>
              <w:jc w:val="center"/>
              <w:rPr>
                <w:rFonts w:ascii="Times New Roman" w:hAnsi="Times New Roman" w:cs="Times New Roman"/>
                <w:color w:val="000000" w:themeColor="text1"/>
                <w:sz w:val="18"/>
                <w:szCs w:val="18"/>
              </w:rPr>
            </w:pPr>
            <w:r>
              <w:rPr>
                <w:rFonts w:ascii="Times New Roman" w:eastAsia="Calibri" w:hAnsi="Times New Roman" w:cs="Times New Roman"/>
                <w:color w:val="000000" w:themeColor="text1"/>
                <w:kern w:val="2"/>
                <w:sz w:val="18"/>
                <w:szCs w:val="18"/>
                <w14:ligatures w14:val="standardContextual"/>
              </w:rPr>
              <w:t>21-40%</w:t>
            </w:r>
          </w:p>
        </w:tc>
        <w:tc>
          <w:tcPr>
            <w:tcW w:w="1055" w:type="dxa"/>
            <w:tcBorders>
              <w:left w:val="nil"/>
              <w:right w:val="nil"/>
            </w:tcBorders>
            <w:vAlign w:val="center"/>
          </w:tcPr>
          <w:p w14:paraId="57030DAB" w14:textId="77777777" w:rsidR="00022ADC" w:rsidRDefault="00022ADC" w:rsidP="00127924">
            <w:pPr>
              <w:spacing w:after="0" w:line="240" w:lineRule="auto"/>
              <w:jc w:val="center"/>
              <w:rPr>
                <w:rFonts w:ascii="Times New Roman" w:hAnsi="Times New Roman" w:cs="Times New Roman"/>
                <w:color w:val="000000" w:themeColor="text1"/>
                <w:sz w:val="18"/>
                <w:szCs w:val="18"/>
              </w:rPr>
            </w:pPr>
            <w:r>
              <w:rPr>
                <w:rFonts w:ascii="Times New Roman" w:eastAsia="Calibri" w:hAnsi="Times New Roman" w:cs="Times New Roman"/>
                <w:color w:val="000000" w:themeColor="text1"/>
                <w:kern w:val="2"/>
                <w:sz w:val="18"/>
                <w:szCs w:val="18"/>
                <w14:ligatures w14:val="standardContextual"/>
              </w:rPr>
              <w:t>41-60%</w:t>
            </w:r>
          </w:p>
        </w:tc>
        <w:tc>
          <w:tcPr>
            <w:tcW w:w="878" w:type="dxa"/>
            <w:tcBorders>
              <w:left w:val="nil"/>
              <w:right w:val="nil"/>
            </w:tcBorders>
            <w:vAlign w:val="center"/>
          </w:tcPr>
          <w:p w14:paraId="2B3034FC" w14:textId="77777777" w:rsidR="00022ADC" w:rsidRDefault="00022ADC" w:rsidP="00127924">
            <w:pPr>
              <w:spacing w:after="0" w:line="240" w:lineRule="auto"/>
              <w:jc w:val="center"/>
              <w:rPr>
                <w:rFonts w:ascii="Times New Roman" w:hAnsi="Times New Roman" w:cs="Times New Roman"/>
                <w:color w:val="000000" w:themeColor="text1"/>
                <w:sz w:val="18"/>
                <w:szCs w:val="18"/>
              </w:rPr>
            </w:pPr>
            <w:r>
              <w:rPr>
                <w:rFonts w:ascii="Times New Roman" w:eastAsia="Calibri" w:hAnsi="Times New Roman" w:cs="Times New Roman"/>
                <w:color w:val="000000" w:themeColor="text1"/>
                <w:kern w:val="2"/>
                <w:sz w:val="18"/>
                <w:szCs w:val="18"/>
                <w14:ligatures w14:val="standardContextual"/>
              </w:rPr>
              <w:t>61-80%</w:t>
            </w:r>
          </w:p>
        </w:tc>
        <w:tc>
          <w:tcPr>
            <w:tcW w:w="985" w:type="dxa"/>
            <w:tcBorders>
              <w:left w:val="nil"/>
              <w:right w:val="nil"/>
            </w:tcBorders>
            <w:vAlign w:val="center"/>
          </w:tcPr>
          <w:p w14:paraId="736D758B" w14:textId="77777777" w:rsidR="00022ADC" w:rsidRDefault="00022ADC" w:rsidP="00127924">
            <w:pPr>
              <w:spacing w:after="0" w:line="240" w:lineRule="auto"/>
              <w:jc w:val="center"/>
              <w:rPr>
                <w:rFonts w:ascii="Times New Roman" w:hAnsi="Times New Roman" w:cs="Times New Roman"/>
                <w:color w:val="000000" w:themeColor="text1"/>
                <w:sz w:val="18"/>
                <w:szCs w:val="18"/>
              </w:rPr>
            </w:pPr>
            <w:r>
              <w:rPr>
                <w:rFonts w:ascii="Times New Roman" w:eastAsia="Calibri" w:hAnsi="Times New Roman" w:cs="Times New Roman"/>
                <w:color w:val="000000" w:themeColor="text1"/>
                <w:kern w:val="2"/>
                <w:sz w:val="18"/>
                <w:szCs w:val="18"/>
                <w14:ligatures w14:val="standardContextual"/>
              </w:rPr>
              <w:t>81-100%</w:t>
            </w:r>
          </w:p>
        </w:tc>
      </w:tr>
      <w:tr w:rsidR="00022ADC" w14:paraId="0C75667A" w14:textId="77777777" w:rsidTr="00127924">
        <w:trPr>
          <w:trHeight w:val="190"/>
        </w:trPr>
        <w:tc>
          <w:tcPr>
            <w:tcW w:w="1554" w:type="dxa"/>
            <w:tcBorders>
              <w:left w:val="nil"/>
              <w:right w:val="nil"/>
            </w:tcBorders>
          </w:tcPr>
          <w:p w14:paraId="37BCDFE1" w14:textId="77777777" w:rsidR="00022ADC" w:rsidRDefault="00022ADC" w:rsidP="00127924">
            <w:pPr>
              <w:spacing w:after="0" w:line="240" w:lineRule="auto"/>
              <w:jc w:val="center"/>
              <w:rPr>
                <w:rFonts w:ascii="Times New Roman" w:hAnsi="Times New Roman" w:cs="Times New Roman"/>
                <w:color w:val="000000" w:themeColor="text1"/>
                <w:kern w:val="2"/>
                <w:sz w:val="18"/>
                <w:szCs w:val="18"/>
                <w14:ligatures w14:val="standardContextual"/>
              </w:rPr>
            </w:pPr>
            <w:r>
              <w:rPr>
                <w:rFonts w:ascii="Times New Roman" w:eastAsia="Calibri" w:hAnsi="Times New Roman" w:cs="Times New Roman"/>
                <w:i/>
                <w:iCs/>
                <w:color w:val="000000" w:themeColor="text1"/>
                <w:kern w:val="2"/>
                <w:sz w:val="18"/>
                <w:szCs w:val="18"/>
                <w14:ligatures w14:val="standardContextual"/>
              </w:rPr>
              <w:t>P value</w:t>
            </w:r>
          </w:p>
        </w:tc>
        <w:tc>
          <w:tcPr>
            <w:tcW w:w="1560" w:type="dxa"/>
            <w:tcBorders>
              <w:left w:val="nil"/>
              <w:right w:val="nil"/>
            </w:tcBorders>
          </w:tcPr>
          <w:p w14:paraId="63E59A7F" w14:textId="77777777" w:rsidR="00022ADC" w:rsidRDefault="00022ADC" w:rsidP="00127924">
            <w:pPr>
              <w:spacing w:after="0" w:line="240" w:lineRule="auto"/>
              <w:jc w:val="center"/>
              <w:rPr>
                <w:rFonts w:ascii="Times New Roman" w:hAnsi="Times New Roman" w:cs="Times New Roman"/>
                <w:color w:val="000000" w:themeColor="text1"/>
                <w:kern w:val="2"/>
                <w:sz w:val="18"/>
                <w:szCs w:val="18"/>
                <w14:ligatures w14:val="standardContextual"/>
              </w:rPr>
            </w:pPr>
            <w:r w:rsidRPr="007340A9">
              <w:rPr>
                <w:rFonts w:ascii="Times New Roman" w:eastAsia="Calibri" w:hAnsi="Times New Roman" w:cs="Times New Roman"/>
                <w:b/>
                <w:bCs/>
                <w:color w:val="000000" w:themeColor="text1"/>
                <w:sz w:val="18"/>
                <w:szCs w:val="18"/>
              </w:rPr>
              <w:t>4e-05</w:t>
            </w:r>
          </w:p>
        </w:tc>
        <w:tc>
          <w:tcPr>
            <w:tcW w:w="992" w:type="dxa"/>
            <w:tcBorders>
              <w:left w:val="nil"/>
              <w:right w:val="nil"/>
            </w:tcBorders>
          </w:tcPr>
          <w:p w14:paraId="7A64D938" w14:textId="77777777" w:rsidR="00022ADC" w:rsidRDefault="00022ADC" w:rsidP="00127924">
            <w:pPr>
              <w:spacing w:after="0" w:line="240" w:lineRule="auto"/>
              <w:jc w:val="center"/>
              <w:rPr>
                <w:rFonts w:ascii="Times New Roman" w:hAnsi="Times New Roman" w:cs="Times New Roman"/>
                <w:color w:val="000000" w:themeColor="text1"/>
                <w:kern w:val="2"/>
                <w:sz w:val="18"/>
                <w:szCs w:val="18"/>
                <w14:ligatures w14:val="standardContextual"/>
              </w:rPr>
            </w:pPr>
            <w:r w:rsidRPr="007340A9">
              <w:rPr>
                <w:rFonts w:ascii="Times New Roman" w:eastAsia="Calibri" w:hAnsi="Times New Roman" w:cs="Times New Roman"/>
                <w:b/>
                <w:bCs/>
                <w:color w:val="000000" w:themeColor="text1"/>
                <w:sz w:val="18"/>
                <w:szCs w:val="18"/>
              </w:rPr>
              <w:t>8e-05</w:t>
            </w:r>
          </w:p>
        </w:tc>
        <w:tc>
          <w:tcPr>
            <w:tcW w:w="992" w:type="dxa"/>
            <w:tcBorders>
              <w:left w:val="nil"/>
              <w:right w:val="nil"/>
            </w:tcBorders>
          </w:tcPr>
          <w:p w14:paraId="09EE2671" w14:textId="77777777" w:rsidR="00022ADC" w:rsidRDefault="00022ADC" w:rsidP="00127924">
            <w:pPr>
              <w:spacing w:after="0" w:line="240" w:lineRule="auto"/>
              <w:jc w:val="center"/>
              <w:rPr>
                <w:rFonts w:ascii="Times New Roman" w:hAnsi="Times New Roman" w:cs="Times New Roman"/>
                <w:color w:val="000000" w:themeColor="text1"/>
                <w:sz w:val="18"/>
                <w:szCs w:val="18"/>
              </w:rPr>
            </w:pPr>
            <w:r>
              <w:rPr>
                <w:rFonts w:ascii="Times New Roman" w:eastAsia="Calibri" w:hAnsi="Times New Roman" w:cs="Times New Roman"/>
                <w:color w:val="000000" w:themeColor="text1"/>
                <w:sz w:val="18"/>
                <w:szCs w:val="18"/>
              </w:rPr>
              <w:t xml:space="preserve"> 0.057</w:t>
            </w:r>
          </w:p>
        </w:tc>
        <w:tc>
          <w:tcPr>
            <w:tcW w:w="992" w:type="dxa"/>
            <w:tcBorders>
              <w:left w:val="nil"/>
              <w:right w:val="nil"/>
            </w:tcBorders>
          </w:tcPr>
          <w:p w14:paraId="10458283" w14:textId="77777777" w:rsidR="00022ADC" w:rsidRDefault="00022ADC" w:rsidP="00127924">
            <w:pPr>
              <w:spacing w:after="0" w:line="240" w:lineRule="auto"/>
              <w:jc w:val="center"/>
              <w:rPr>
                <w:rFonts w:ascii="Times New Roman" w:hAnsi="Times New Roman" w:cs="Times New Roman"/>
                <w:color w:val="000000" w:themeColor="text1"/>
                <w:kern w:val="2"/>
                <w:sz w:val="18"/>
                <w:szCs w:val="18"/>
                <w14:ligatures w14:val="standardContextual"/>
              </w:rPr>
            </w:pPr>
            <w:r w:rsidRPr="007340A9">
              <w:rPr>
                <w:rFonts w:ascii="Times New Roman" w:eastAsia="Calibri" w:hAnsi="Times New Roman" w:cs="Times New Roman"/>
                <w:b/>
                <w:bCs/>
                <w:color w:val="000000" w:themeColor="text1"/>
                <w:sz w:val="18"/>
                <w:szCs w:val="18"/>
              </w:rPr>
              <w:t>8e-05</w:t>
            </w:r>
          </w:p>
        </w:tc>
        <w:tc>
          <w:tcPr>
            <w:tcW w:w="1055" w:type="dxa"/>
            <w:tcBorders>
              <w:left w:val="nil"/>
              <w:right w:val="nil"/>
            </w:tcBorders>
          </w:tcPr>
          <w:p w14:paraId="55AC9DAD" w14:textId="77777777" w:rsidR="00022ADC" w:rsidRDefault="00022ADC" w:rsidP="00127924">
            <w:pPr>
              <w:spacing w:after="0" w:line="240" w:lineRule="auto"/>
              <w:jc w:val="center"/>
              <w:rPr>
                <w:rFonts w:ascii="Times New Roman" w:hAnsi="Times New Roman" w:cs="Times New Roman"/>
                <w:color w:val="000000" w:themeColor="text1"/>
                <w:kern w:val="2"/>
                <w:sz w:val="18"/>
                <w:szCs w:val="18"/>
                <w14:ligatures w14:val="standardContextual"/>
              </w:rPr>
            </w:pPr>
            <w:r w:rsidRPr="007340A9">
              <w:rPr>
                <w:rFonts w:ascii="Times New Roman" w:eastAsia="Calibri" w:hAnsi="Times New Roman" w:cs="Times New Roman"/>
                <w:b/>
                <w:bCs/>
                <w:color w:val="000000" w:themeColor="text1"/>
                <w:sz w:val="18"/>
                <w:szCs w:val="18"/>
              </w:rPr>
              <w:t xml:space="preserve">4e-05 </w:t>
            </w:r>
          </w:p>
        </w:tc>
        <w:tc>
          <w:tcPr>
            <w:tcW w:w="878" w:type="dxa"/>
            <w:tcBorders>
              <w:left w:val="nil"/>
              <w:right w:val="nil"/>
            </w:tcBorders>
          </w:tcPr>
          <w:p w14:paraId="5A29D7A1" w14:textId="77777777" w:rsidR="00022ADC" w:rsidRDefault="00022ADC" w:rsidP="00127924">
            <w:pPr>
              <w:spacing w:after="0" w:line="240" w:lineRule="auto"/>
              <w:jc w:val="center"/>
              <w:rPr>
                <w:rFonts w:ascii="Times New Roman" w:hAnsi="Times New Roman" w:cs="Times New Roman"/>
                <w:color w:val="000000" w:themeColor="text1"/>
                <w:kern w:val="2"/>
                <w:sz w:val="18"/>
                <w:szCs w:val="18"/>
                <w14:ligatures w14:val="standardContextual"/>
              </w:rPr>
            </w:pPr>
            <w:r w:rsidRPr="007340A9">
              <w:rPr>
                <w:rFonts w:ascii="Times New Roman" w:eastAsia="Calibri" w:hAnsi="Times New Roman" w:cs="Times New Roman"/>
                <w:b/>
                <w:bCs/>
                <w:color w:val="000000" w:themeColor="text1"/>
                <w:sz w:val="18"/>
                <w:szCs w:val="18"/>
              </w:rPr>
              <w:t>0.022</w:t>
            </w:r>
          </w:p>
        </w:tc>
        <w:tc>
          <w:tcPr>
            <w:tcW w:w="985" w:type="dxa"/>
            <w:tcBorders>
              <w:left w:val="nil"/>
              <w:right w:val="nil"/>
            </w:tcBorders>
          </w:tcPr>
          <w:p w14:paraId="124216E7" w14:textId="77777777" w:rsidR="00022ADC" w:rsidRDefault="00022ADC" w:rsidP="00127924">
            <w:pPr>
              <w:spacing w:after="0" w:line="240" w:lineRule="auto"/>
              <w:jc w:val="center"/>
              <w:rPr>
                <w:rFonts w:ascii="Times New Roman" w:hAnsi="Times New Roman" w:cs="Times New Roman"/>
                <w:color w:val="000000" w:themeColor="text1"/>
                <w:kern w:val="2"/>
                <w:sz w:val="18"/>
                <w:szCs w:val="18"/>
                <w14:ligatures w14:val="standardContextual"/>
              </w:rPr>
            </w:pPr>
            <w:r w:rsidRPr="007340A9">
              <w:rPr>
                <w:rFonts w:ascii="Times New Roman" w:eastAsia="Calibri" w:hAnsi="Times New Roman" w:cs="Times New Roman"/>
                <w:b/>
                <w:bCs/>
                <w:color w:val="000000" w:themeColor="text1"/>
                <w:sz w:val="18"/>
                <w:szCs w:val="18"/>
              </w:rPr>
              <w:t>0.0011</w:t>
            </w:r>
          </w:p>
        </w:tc>
      </w:tr>
    </w:tbl>
    <w:p w14:paraId="0EE8FF89" w14:textId="77777777" w:rsidR="00022ADC" w:rsidRDefault="00022ADC" w:rsidP="00022ADC">
      <w:pPr>
        <w:spacing w:after="0" w:line="240" w:lineRule="auto"/>
      </w:pPr>
    </w:p>
    <w:p w14:paraId="1B9FDA80" w14:textId="77777777" w:rsidR="00022ADC" w:rsidRDefault="00022ADC" w:rsidP="00022ADC">
      <w:pPr>
        <w:spacing w:after="0" w:line="240" w:lineRule="auto"/>
        <w:rPr>
          <w:rFonts w:ascii="Times New Roman" w:eastAsiaTheme="majorEastAsia" w:hAnsi="Times New Roman" w:cs="Times New Roman"/>
          <w:color w:val="000000" w:themeColor="text1"/>
          <w:sz w:val="32"/>
          <w:szCs w:val="32"/>
          <w:lang w:val="en-US"/>
        </w:rPr>
      </w:pPr>
    </w:p>
    <w:p w14:paraId="5E8E2F06" w14:textId="77777777" w:rsidR="00022ADC" w:rsidRDefault="00022ADC" w:rsidP="00022ADC">
      <w:pPr>
        <w:pStyle w:val="Rubrik1"/>
        <w:spacing w:before="0"/>
        <w:rPr>
          <w:rFonts w:cs="Times New Roman"/>
          <w:lang w:val="en-US"/>
        </w:rPr>
      </w:pPr>
      <w:bookmarkStart w:id="17" w:name="_Toc147493693"/>
      <w:bookmarkStart w:id="18" w:name="_Toc152330776"/>
      <w:r>
        <w:rPr>
          <w:rFonts w:cs="Times New Roman"/>
          <w:lang w:val="en-US"/>
        </w:rPr>
        <w:t>Supplementary figures</w:t>
      </w:r>
      <w:bookmarkEnd w:id="17"/>
      <w:bookmarkEnd w:id="18"/>
    </w:p>
    <w:p w14:paraId="0FAEE0CF" w14:textId="77777777" w:rsidR="00022ADC" w:rsidRDefault="00022ADC" w:rsidP="00022ADC">
      <w:pPr>
        <w:pStyle w:val="Rubrik1"/>
        <w:rPr>
          <w:rFonts w:cs="Times New Roman"/>
          <w:lang w:val="en-US"/>
        </w:rPr>
      </w:pPr>
      <w:bookmarkStart w:id="19" w:name="_Toc147493694"/>
      <w:bookmarkStart w:id="20" w:name="_Toc152330777"/>
      <w:r>
        <w:rPr>
          <w:rFonts w:cs="Times New Roman"/>
          <w:lang w:val="en-US"/>
        </w:rPr>
        <w:t>SI – 4. Historical land use for P08 4 and 5</w:t>
      </w:r>
      <w:bookmarkEnd w:id="19"/>
      <w:bookmarkEnd w:id="20"/>
    </w:p>
    <w:p w14:paraId="42F320B1" w14:textId="6D63EED2" w:rsidR="00022ADC" w:rsidRPr="00850586" w:rsidRDefault="00022ADC" w:rsidP="00CE3663">
      <w:pPr>
        <w:pStyle w:val="Rubrik3"/>
        <w:rPr>
          <w:lang w:val="en-US"/>
        </w:rPr>
      </w:pPr>
      <w:bookmarkStart w:id="21" w:name="_Toc152330778"/>
      <w:r w:rsidRPr="00850586">
        <w:rPr>
          <w:lang w:val="en-US"/>
        </w:rPr>
        <w:t xml:space="preserve">Figure SI </w:t>
      </w:r>
      <w:r w:rsidR="0009305C">
        <w:rPr>
          <w:lang w:val="en-US"/>
        </w:rPr>
        <w:t>3</w:t>
      </w:r>
      <w:r w:rsidRPr="00850586">
        <w:rPr>
          <w:lang w:val="en-US"/>
        </w:rPr>
        <w:t>. Historical land use of two production regions - P04 and P05. Relative values of Perennial ley and Cereal production in the regions over time - 1960 to 2021.</w:t>
      </w:r>
      <w:bookmarkEnd w:id="21"/>
    </w:p>
    <w:p w14:paraId="043A08B0" w14:textId="77777777" w:rsidR="00022ADC" w:rsidRDefault="00022ADC" w:rsidP="00022ADC">
      <w:pPr>
        <w:rPr>
          <w:rFonts w:ascii="Times New Roman" w:hAnsi="Times New Roman" w:cs="Times New Roman"/>
          <w:color w:val="000000" w:themeColor="text1"/>
          <w:lang w:val="en-US"/>
        </w:rPr>
      </w:pPr>
      <w:r>
        <w:rPr>
          <w:noProof/>
        </w:rPr>
        <w:drawing>
          <wp:inline distT="0" distB="0" distL="0" distR="0" wp14:anchorId="2C3B5E15" wp14:editId="7C9526AA">
            <wp:extent cx="5731510" cy="3561080"/>
            <wp:effectExtent l="0" t="0" r="0" b="0"/>
            <wp:docPr id="1" name="Bildobjekt 1" descr="En bild som visar text, diagram, karta,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ext, diagram, karta, Graf&#10;&#10;Automatiskt genererad beskrivning"/>
                    <pic:cNvPicPr>
                      <a:picLocks noChangeAspect="1" noChangeArrowheads="1"/>
                    </pic:cNvPicPr>
                  </pic:nvPicPr>
                  <pic:blipFill>
                    <a:blip r:embed="rId8"/>
                    <a:stretch>
                      <a:fillRect/>
                    </a:stretch>
                  </pic:blipFill>
                  <pic:spPr bwMode="auto">
                    <a:xfrm>
                      <a:off x="0" y="0"/>
                      <a:ext cx="5731510" cy="3561080"/>
                    </a:xfrm>
                    <a:prstGeom prst="rect">
                      <a:avLst/>
                    </a:prstGeom>
                  </pic:spPr>
                </pic:pic>
              </a:graphicData>
            </a:graphic>
          </wp:inline>
        </w:drawing>
      </w:r>
    </w:p>
    <w:p w14:paraId="416BE802" w14:textId="77777777" w:rsidR="00022ADC" w:rsidRDefault="00022ADC" w:rsidP="00022ADC">
      <w:pPr>
        <w:suppressAutoHyphens w:val="0"/>
        <w:rPr>
          <w:rFonts w:ascii="Times New Roman" w:hAnsi="Times New Roman" w:cs="Times New Roman"/>
          <w:color w:val="000000" w:themeColor="text1"/>
        </w:rPr>
      </w:pPr>
    </w:p>
    <w:p w14:paraId="63B064AC" w14:textId="77777777" w:rsidR="00022ADC" w:rsidRDefault="00022ADC" w:rsidP="00022ADC">
      <w:pPr>
        <w:spacing w:after="0" w:line="240" w:lineRule="auto"/>
        <w:rPr>
          <w:rFonts w:ascii="Times New Roman" w:eastAsiaTheme="majorEastAsia" w:hAnsi="Times New Roman" w:cs="Times New Roman"/>
          <w:color w:val="000000" w:themeColor="text1"/>
          <w:sz w:val="32"/>
          <w:szCs w:val="32"/>
          <w:lang w:val="en-US"/>
        </w:rPr>
      </w:pPr>
    </w:p>
    <w:p w14:paraId="53DCD027" w14:textId="7E2B368F" w:rsidR="00022ADC" w:rsidRDefault="00022ADC" w:rsidP="00022ADC">
      <w:pPr>
        <w:spacing w:after="0" w:line="240" w:lineRule="auto"/>
        <w:rPr>
          <w:rFonts w:ascii="Times New Roman" w:eastAsiaTheme="majorEastAsia" w:hAnsi="Times New Roman" w:cs="Times New Roman"/>
          <w:color w:val="000000" w:themeColor="text1"/>
          <w:sz w:val="32"/>
          <w:szCs w:val="32"/>
          <w:lang w:val="en-US"/>
        </w:rPr>
      </w:pPr>
    </w:p>
    <w:p w14:paraId="592A51AB" w14:textId="77777777" w:rsidR="00022ADC" w:rsidRDefault="00022ADC" w:rsidP="00022ADC">
      <w:pPr>
        <w:pStyle w:val="Rubrik1"/>
        <w:spacing w:before="0"/>
        <w:rPr>
          <w:rFonts w:cs="Times New Roman"/>
          <w:b w:val="0"/>
          <w:bCs/>
          <w:lang w:val="en-US"/>
        </w:rPr>
      </w:pPr>
      <w:bookmarkStart w:id="22" w:name="_Toc146892805"/>
      <w:bookmarkStart w:id="23" w:name="_Toc147493697"/>
      <w:bookmarkStart w:id="24" w:name="_Toc152330779"/>
      <w:r>
        <w:rPr>
          <w:rFonts w:cs="Times New Roman"/>
          <w:lang w:val="en-US"/>
        </w:rPr>
        <w:lastRenderedPageBreak/>
        <w:t>SI – 5. Changes in winter wheat cultivation and production</w:t>
      </w:r>
      <w:bookmarkEnd w:id="22"/>
      <w:bookmarkEnd w:id="23"/>
      <w:bookmarkEnd w:id="24"/>
      <w:r>
        <w:rPr>
          <w:rFonts w:cs="Times New Roman"/>
          <w:lang w:val="en-US"/>
        </w:rPr>
        <w:t xml:space="preserve"> </w:t>
      </w:r>
    </w:p>
    <w:p w14:paraId="478BE8D5" w14:textId="77777777" w:rsidR="00022ADC" w:rsidRDefault="00022ADC" w:rsidP="00022ADC">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Winter wheat cultivation area is increasing in Sweden at the expense of summer cereals, foremost oat. Between S1 and S2, winter wheat cultivation areas increased by roughly 6.2% in Sweden on average, with a higher increase in the three southern production regions (PR 1-3). A difficult and rainy autumn in 2012 resulted in a very low establishment of winter wheat in PR 4, causing a modest area increase. PR 1, PR 3, and PR 4 stand for over 80 % of the total acreage of winter wheat. </w:t>
      </w:r>
      <w:r>
        <w:fldChar w:fldCharType="begin"/>
      </w:r>
      <w:r>
        <w:rPr>
          <w:rFonts w:ascii="Times New Roman" w:hAnsi="Times New Roman" w:cs="Times New Roman"/>
          <w:color w:val="000000" w:themeColor="text1"/>
          <w:lang w:val="en-US"/>
        </w:rPr>
        <w:instrText>ADDIN EN.CITE &lt;EndNote&gt;&lt;Cite&gt;&lt;Author&gt;Jordbruksverket&lt;/Author&gt;&lt;Year&gt;2023&lt;/Year&gt;&lt;RecNum&gt;127&lt;/RecNum&gt;&lt;DisplayText&gt;(Jordbruksverket, 2023)&lt;/DisplayText&gt;&lt;record&gt;&lt;rec-number&gt;127&lt;/rec-number&gt;&lt;foreign-keys&gt;&lt;key app="EN" db-id="rtwv5a2fddt5wuedzt2p0sdd2fp02t9rdvft" timestamp="1688637884"&gt;127&lt;/key&gt;&lt;/foreign-keys&gt;&lt;ref-type name="Web Page"&gt;12&lt;/ref-type&gt;&lt;contributors&gt;&lt;authors&gt;&lt;author&gt;Jordbruksverket&lt;/author&gt;&lt;/authors&gt;&lt;/contributors&gt;&lt;titles&gt;&lt;title&gt;Jordbruksverkets statistikdatabas. https://statistik.sjv.se/PXWeb/pxweb/sv/Jordbruksverkets%20statistikdatabas/?rxid=5adf4929-f548-4f27-9bc9-78e127837625 Access June 2023. &lt;/title&gt;&lt;/titles&gt;&lt;volume&gt;2023&lt;/volume&gt;&lt;number&gt;2023-07-06&lt;/number&gt;&lt;dates&gt;&lt;year&gt;2023&lt;/year&gt;&lt;/dates&gt;&lt;publisher&gt;Jordbruksverket &lt;/publisher&gt;&lt;urls&gt;&lt;/urls&gt;&lt;/record&gt;&lt;/Cite&gt;&lt;/EndNote&gt;</w:instrText>
      </w:r>
      <w:r>
        <w:rPr>
          <w:rFonts w:ascii="Times New Roman" w:hAnsi="Times New Roman" w:cs="Times New Roman"/>
          <w:color w:val="000000" w:themeColor="text1"/>
          <w:lang w:val="en-US"/>
        </w:rPr>
        <w:fldChar w:fldCharType="separate"/>
      </w:r>
      <w:r>
        <w:rPr>
          <w:rFonts w:ascii="Times New Roman" w:hAnsi="Times New Roman" w:cs="Times New Roman"/>
          <w:color w:val="000000" w:themeColor="text1"/>
          <w:lang w:val="en-US"/>
        </w:rPr>
        <w:t>(Jordbruksverket, 2023)</w:t>
      </w:r>
      <w:r>
        <w:rPr>
          <w:rFonts w:ascii="Times New Roman" w:hAnsi="Times New Roman" w:cs="Times New Roman"/>
          <w:color w:val="000000" w:themeColor="text1"/>
          <w:lang w:val="en-US"/>
        </w:rPr>
        <w:fldChar w:fldCharType="end"/>
      </w:r>
    </w:p>
    <w:p w14:paraId="5D7019CE" w14:textId="77777777" w:rsidR="00022ADC" w:rsidRDefault="00022ADC" w:rsidP="00022ADC">
      <w:pPr>
        <w:rPr>
          <w:rFonts w:ascii="Times New Roman" w:hAnsi="Times New Roman" w:cs="Times New Roman"/>
          <w:color w:val="000000" w:themeColor="text1"/>
          <w:lang w:val="en-US"/>
        </w:rPr>
      </w:pPr>
      <w:r>
        <w:rPr>
          <w:noProof/>
        </w:rPr>
        <w:drawing>
          <wp:inline distT="0" distB="0" distL="0" distR="0" wp14:anchorId="00F93C33" wp14:editId="74872E7D">
            <wp:extent cx="3789045" cy="2314575"/>
            <wp:effectExtent l="0" t="0" r="0" b="0"/>
            <wp:docPr id="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09AD94A" w14:textId="366842CD" w:rsidR="00022ADC" w:rsidRPr="004D7D07" w:rsidRDefault="00022ADC" w:rsidP="00CE3663">
      <w:pPr>
        <w:pStyle w:val="Rubrik3"/>
        <w:rPr>
          <w:lang w:val="en-US"/>
        </w:rPr>
      </w:pPr>
      <w:bookmarkStart w:id="25" w:name="_Toc146892806"/>
      <w:bookmarkStart w:id="26" w:name="_Toc147493698"/>
      <w:bookmarkStart w:id="27" w:name="_Toc152330780"/>
      <w:r w:rsidRPr="004D7D07">
        <w:rPr>
          <w:lang w:val="en-US"/>
        </w:rPr>
        <w:t xml:space="preserve">Figure SI </w:t>
      </w:r>
      <w:r w:rsidR="000B3571">
        <w:rPr>
          <w:lang w:val="en-US"/>
        </w:rPr>
        <w:t>4</w:t>
      </w:r>
      <w:r w:rsidRPr="004D7D07">
        <w:rPr>
          <w:lang w:val="en-US"/>
        </w:rPr>
        <w:t>. Changes in winter wheat cultivation (hectares) between S1 (black) and S2 (grey)</w:t>
      </w:r>
      <w:bookmarkEnd w:id="25"/>
      <w:bookmarkEnd w:id="26"/>
      <w:bookmarkEnd w:id="27"/>
    </w:p>
    <w:p w14:paraId="3F8EC379" w14:textId="77777777" w:rsidR="00022ADC" w:rsidRDefault="00022ADC" w:rsidP="00022ADC">
      <w:pPr>
        <w:rPr>
          <w:rFonts w:ascii="Times New Roman" w:hAnsi="Times New Roman" w:cs="Times New Roman"/>
          <w:color w:val="000000" w:themeColor="text1"/>
          <w:lang w:val="en-US"/>
        </w:rPr>
      </w:pPr>
    </w:p>
    <w:p w14:paraId="62EDDFC2" w14:textId="77777777" w:rsidR="00022ADC" w:rsidRDefault="00022ADC" w:rsidP="00022ADC">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Average winter wheat yield increased by close to 12 % between S1 and S2 (Swedish average). The increase was more accentuated in the southern production regions (PR 1-3). As noted above, difficult weather conditions during the 2012/2013 season resulted in a small increase (4%) in PR 4 </w:t>
      </w:r>
      <w:r>
        <w:fldChar w:fldCharType="begin"/>
      </w:r>
      <w:r>
        <w:rPr>
          <w:rFonts w:ascii="Times New Roman" w:hAnsi="Times New Roman" w:cs="Times New Roman"/>
          <w:color w:val="000000" w:themeColor="text1"/>
          <w:lang w:val="en-US"/>
        </w:rPr>
        <w:instrText>ADDIN EN.CITE &lt;EndNote&gt;&lt;Cite&gt;&lt;Author&gt;Jordbruksverket&lt;/Author&gt;&lt;Year&gt;2023&lt;/Year&gt;&lt;RecNum&gt;127&lt;/RecNum&gt;&lt;DisplayText&gt;(Jordbruksverket, 2023)&lt;/DisplayText&gt;&lt;record&gt;&lt;rec-number&gt;127&lt;/rec-number&gt;&lt;foreign-keys&gt;&lt;key app="EN" db-id="rtwv5a2fddt5wuedzt2p0sdd2fp02t9rdvft" timestamp="1688637884"&gt;127&lt;/key&gt;&lt;/foreign-keys&gt;&lt;ref-type name="Web Page"&gt;12&lt;/ref-type&gt;&lt;contributors&gt;&lt;authors&gt;&lt;author&gt;Jordbruksverket&lt;/author&gt;&lt;/authors&gt;&lt;/contributors&gt;&lt;titles&gt;&lt;title&gt;Jordbruksverkets statistikdatabas. https://statistik.sjv.se/PXWeb/pxweb/sv/Jordbruksverkets%20statistikdatabas/?rxid=5adf4929-f548-4f27-9bc9-78e127837625 Access June 2023. &lt;/title&gt;&lt;/titles&gt;&lt;volume&gt;2023&lt;/volume&gt;&lt;number&gt;2023-07-06&lt;/number&gt;&lt;dates&gt;&lt;year&gt;2023&lt;/year&gt;&lt;/dates&gt;&lt;publisher&gt;Jordbruksverket &lt;/publisher&gt;&lt;urls&gt;&lt;/urls&gt;&lt;/record&gt;&lt;/Cite&gt;&lt;/EndNote&gt;</w:instrText>
      </w:r>
      <w:r>
        <w:rPr>
          <w:rFonts w:ascii="Times New Roman" w:hAnsi="Times New Roman" w:cs="Times New Roman"/>
          <w:color w:val="000000" w:themeColor="text1"/>
          <w:lang w:val="en-US"/>
        </w:rPr>
        <w:fldChar w:fldCharType="separate"/>
      </w:r>
      <w:r>
        <w:rPr>
          <w:rFonts w:ascii="Times New Roman" w:hAnsi="Times New Roman" w:cs="Times New Roman"/>
          <w:color w:val="000000" w:themeColor="text1"/>
          <w:lang w:val="en-US"/>
        </w:rPr>
        <w:t>(Jordbruksverket, 2023)</w:t>
      </w:r>
      <w:r>
        <w:rPr>
          <w:rFonts w:ascii="Times New Roman" w:hAnsi="Times New Roman" w:cs="Times New Roman"/>
          <w:color w:val="000000" w:themeColor="text1"/>
          <w:lang w:val="en-US"/>
        </w:rPr>
        <w:fldChar w:fldCharType="end"/>
      </w:r>
    </w:p>
    <w:p w14:paraId="5AADF768" w14:textId="77777777" w:rsidR="00022ADC" w:rsidRDefault="00022ADC" w:rsidP="00022ADC">
      <w:pPr>
        <w:rPr>
          <w:rFonts w:ascii="Times New Roman" w:hAnsi="Times New Roman" w:cs="Times New Roman"/>
          <w:color w:val="000000" w:themeColor="text1"/>
          <w:lang w:val="en-US"/>
        </w:rPr>
      </w:pPr>
      <w:r>
        <w:rPr>
          <w:noProof/>
        </w:rPr>
        <w:drawing>
          <wp:inline distT="0" distB="0" distL="0" distR="0" wp14:anchorId="010F79EF" wp14:editId="49C582E4">
            <wp:extent cx="3736340" cy="2257425"/>
            <wp:effectExtent l="0" t="0" r="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EF93A21" w14:textId="5DA7E7D5" w:rsidR="00022ADC" w:rsidRPr="00850586" w:rsidRDefault="00022ADC" w:rsidP="00CE3663">
      <w:pPr>
        <w:pStyle w:val="Rubrik3"/>
        <w:rPr>
          <w:lang w:val="en-US"/>
        </w:rPr>
      </w:pPr>
      <w:bookmarkStart w:id="28" w:name="_Toc146892807"/>
      <w:bookmarkStart w:id="29" w:name="_Toc147493699"/>
      <w:bookmarkStart w:id="30" w:name="_Toc152330781"/>
      <w:r w:rsidRPr="00850586">
        <w:rPr>
          <w:lang w:val="en-US"/>
        </w:rPr>
        <w:t xml:space="preserve">Figure SI </w:t>
      </w:r>
      <w:r w:rsidR="000B3571">
        <w:rPr>
          <w:lang w:val="en-US"/>
        </w:rPr>
        <w:t>5</w:t>
      </w:r>
      <w:r w:rsidRPr="00850586">
        <w:rPr>
          <w:lang w:val="en-US"/>
        </w:rPr>
        <w:t xml:space="preserve"> Changes in winter wheat yields (hectares) between S1 (black) and S2 (grey)</w:t>
      </w:r>
      <w:bookmarkEnd w:id="28"/>
      <w:bookmarkEnd w:id="29"/>
      <w:bookmarkEnd w:id="30"/>
    </w:p>
    <w:p w14:paraId="1A37ECAA" w14:textId="77777777" w:rsidR="00022ADC" w:rsidRDefault="00022ADC" w:rsidP="00022ADC">
      <w:pPr>
        <w:rPr>
          <w:rFonts w:ascii="Times New Roman" w:hAnsi="Times New Roman" w:cs="Times New Roman"/>
          <w:color w:val="000000" w:themeColor="text1"/>
          <w:lang w:val="en-US"/>
        </w:rPr>
      </w:pPr>
    </w:p>
    <w:p w14:paraId="6E7F0614" w14:textId="77777777" w:rsidR="00022ADC" w:rsidRDefault="00022ADC" w:rsidP="00022ADC">
      <w:pPr>
        <w:pStyle w:val="EndNoteBibliography"/>
        <w:ind w:left="720" w:hanging="720"/>
        <w:rPr>
          <w:rFonts w:ascii="Times New Roman" w:hAnsi="Times New Roman" w:cs="Times New Roman"/>
          <w:color w:val="000000" w:themeColor="text1"/>
        </w:rPr>
      </w:pPr>
      <w:r>
        <w:rPr>
          <w:sz w:val="22"/>
          <w:szCs w:val="22"/>
          <w:lang w:val="en-US"/>
        </w:rPr>
        <w:fldChar w:fldCharType="begin"/>
      </w:r>
      <w:r w:rsidRPr="007340A9">
        <w:rPr>
          <w:rFonts w:ascii="Times New Roman" w:hAnsi="Times New Roman"/>
        </w:rPr>
        <w:instrText>ADDIN EN.REFLIST</w:instrText>
      </w:r>
      <w:r>
        <w:rPr>
          <w:rFonts w:ascii="Times New Roman" w:hAnsi="Times New Roman"/>
          <w:sz w:val="22"/>
          <w:szCs w:val="22"/>
          <w:lang w:val="en-US"/>
        </w:rPr>
        <w:fldChar w:fldCharType="separate"/>
      </w:r>
      <w:r>
        <w:rPr>
          <w:rFonts w:ascii="Times New Roman" w:hAnsi="Times New Roman" w:cs="Times New Roman"/>
          <w:color w:val="000000" w:themeColor="text1"/>
        </w:rPr>
        <w:t xml:space="preserve">Jordbruksverket. (2023). Jordbruksverkets statistikdatabas. </w:t>
      </w:r>
      <w:hyperlink r:id="rId11">
        <w:r>
          <w:rPr>
            <w:rStyle w:val="Hyperlnk"/>
            <w:rFonts w:ascii="Times New Roman" w:hAnsi="Times New Roman" w:cs="Times New Roman"/>
            <w:color w:val="000000" w:themeColor="text1"/>
          </w:rPr>
          <w:t>https://statistik.sjv.se/PXWeb/pxweb/sv/Jordbruksverkets%20statistikdatabas/?rxid=5adf4929-f548-4f27-9bc9-78e127837625</w:t>
        </w:r>
      </w:hyperlink>
      <w:r>
        <w:rPr>
          <w:rFonts w:ascii="Times New Roman" w:hAnsi="Times New Roman" w:cs="Times New Roman"/>
          <w:color w:val="000000" w:themeColor="text1"/>
        </w:rPr>
        <w:t xml:space="preserve"> Access June 2023.  </w:t>
      </w:r>
    </w:p>
    <w:p w14:paraId="1A1922AE" w14:textId="7AC9DE0D" w:rsidR="00022ADC" w:rsidRPr="007340A9" w:rsidRDefault="00022ADC" w:rsidP="00022ADC">
      <w:pPr>
        <w:pStyle w:val="Rubrik1"/>
        <w:spacing w:before="0"/>
        <w:rPr>
          <w:rFonts w:cs="Times New Roman"/>
        </w:rPr>
      </w:pPr>
      <w:r>
        <w:lastRenderedPageBreak/>
        <w:fldChar w:fldCharType="end"/>
      </w:r>
    </w:p>
    <w:p w14:paraId="515438F6" w14:textId="77777777" w:rsidR="00022ADC" w:rsidRDefault="00022ADC" w:rsidP="00022ADC">
      <w:pPr>
        <w:pStyle w:val="Rubrik1"/>
        <w:rPr>
          <w:rFonts w:cs="Times New Roman"/>
          <w:lang w:val="en-US"/>
        </w:rPr>
      </w:pPr>
      <w:bookmarkStart w:id="31" w:name="_Toc152330782"/>
      <w:r>
        <w:rPr>
          <w:rFonts w:cs="Times New Roman"/>
          <w:lang w:val="en-US"/>
        </w:rPr>
        <w:t>SI – 6. Code availability for statistics</w:t>
      </w:r>
      <w:bookmarkEnd w:id="31"/>
      <w:r>
        <w:rPr>
          <w:rFonts w:cs="Times New Roman"/>
          <w:lang w:val="en-US"/>
        </w:rPr>
        <w:t xml:space="preserve"> </w:t>
      </w:r>
    </w:p>
    <w:p w14:paraId="271A27B6" w14:textId="77777777" w:rsidR="00022ADC" w:rsidRDefault="00022ADC" w:rsidP="00022ADC">
      <w:pPr>
        <w:rPr>
          <w:lang w:val="en-US"/>
        </w:rPr>
      </w:pPr>
    </w:p>
    <w:p w14:paraId="31722BA3" w14:textId="77777777" w:rsidR="00022ADC" w:rsidRDefault="00022ADC" w:rsidP="00022ADC">
      <w:pPr>
        <w:rPr>
          <w:lang w:val="en-US"/>
        </w:rPr>
      </w:pPr>
      <w:r>
        <w:rPr>
          <w:lang w:val="en-US"/>
        </w:rPr>
        <w:t xml:space="preserve">In the Method section, several different statistical analyses were used. </w:t>
      </w:r>
    </w:p>
    <w:p w14:paraId="0400E0BD" w14:textId="77777777" w:rsidR="00022ADC" w:rsidRDefault="00022ADC" w:rsidP="00022ADC">
      <w:pPr>
        <w:rPr>
          <w:lang w:val="en-US"/>
        </w:rPr>
      </w:pPr>
      <w:r>
        <w:rPr>
          <w:lang w:val="en-US"/>
        </w:rPr>
        <w:t xml:space="preserve">These are all collected in an open repository on GitHub. </w:t>
      </w:r>
    </w:p>
    <w:p w14:paraId="30BA61F1" w14:textId="77777777" w:rsidR="00022ADC" w:rsidRDefault="00022ADC" w:rsidP="00022ADC">
      <w:pPr>
        <w:rPr>
          <w:lang w:val="en-US"/>
        </w:rPr>
      </w:pPr>
    </w:p>
    <w:p w14:paraId="794C25A0" w14:textId="77777777" w:rsidR="00022ADC" w:rsidRDefault="00022ADC" w:rsidP="00022ADC">
      <w:pPr>
        <w:rPr>
          <w:b/>
          <w:bCs/>
          <w:u w:val="single"/>
          <w:lang w:val="en-US"/>
        </w:rPr>
      </w:pPr>
      <w:r>
        <w:rPr>
          <w:b/>
          <w:bCs/>
          <w:u w:val="single"/>
          <w:lang w:val="en-US"/>
        </w:rPr>
        <w:t>Link below to Repository on Github</w:t>
      </w:r>
      <w:r>
        <w:rPr>
          <w:b/>
          <w:bCs/>
          <w:u w:val="single"/>
          <w:lang w:val="en-US"/>
        </w:rPr>
        <w:br/>
      </w:r>
    </w:p>
    <w:p w14:paraId="794C6B79" w14:textId="77777777" w:rsidR="00022ADC" w:rsidRDefault="00036F3F" w:rsidP="00022ADC">
      <w:pPr>
        <w:rPr>
          <w:lang w:val="en-US"/>
        </w:rPr>
      </w:pPr>
      <w:hyperlink r:id="rId12">
        <w:r w:rsidR="00022ADC">
          <w:rPr>
            <w:rStyle w:val="Hyperlnk"/>
            <w:lang w:val="en-US"/>
          </w:rPr>
          <w:t>https://github.com/Karlstefanrehn/statistics_SASI/tree/main</w:t>
        </w:r>
      </w:hyperlink>
    </w:p>
    <w:p w14:paraId="03C40702" w14:textId="77777777" w:rsidR="00022ADC" w:rsidRDefault="00022ADC" w:rsidP="00022ADC">
      <w:pPr>
        <w:rPr>
          <w:lang w:val="en-US"/>
        </w:rPr>
      </w:pPr>
    </w:p>
    <w:p w14:paraId="124D898F" w14:textId="77777777" w:rsidR="00022ADC" w:rsidRDefault="00022ADC" w:rsidP="00022ADC">
      <w:pPr>
        <w:rPr>
          <w:lang w:val="en-US"/>
        </w:rPr>
      </w:pPr>
      <w:r>
        <w:rPr>
          <w:lang w:val="en-US"/>
        </w:rPr>
        <w:t xml:space="preserve">Code availability on method development and spatial operations are available on request. </w:t>
      </w:r>
    </w:p>
    <w:p w14:paraId="43A2DE68" w14:textId="77777777" w:rsidR="00022ADC" w:rsidRDefault="00022ADC" w:rsidP="00022ADC">
      <w:pPr>
        <w:rPr>
          <w:lang w:val="en-US"/>
        </w:rPr>
      </w:pPr>
      <w:r>
        <w:rPr>
          <w:lang w:val="en-US"/>
        </w:rPr>
        <w:t xml:space="preserve">Please send an inquiry to the Corresponding author. </w:t>
      </w:r>
    </w:p>
    <w:p w14:paraId="5A3B231B" w14:textId="77777777" w:rsidR="00022ADC" w:rsidRDefault="00022ADC" w:rsidP="00022ADC">
      <w:pPr>
        <w:spacing w:line="360" w:lineRule="auto"/>
        <w:rPr>
          <w:lang w:val="en-US"/>
        </w:rPr>
      </w:pPr>
      <w:r>
        <w:rPr>
          <w:lang w:val="en-US"/>
        </w:rPr>
        <w:t>Corresponding author:</w:t>
      </w:r>
      <w:r>
        <w:rPr>
          <w:lang w:val="en-US"/>
        </w:rPr>
        <w:br/>
        <w:t>Andreas Rehn, Division of Physical Resource Theory at Space, Earth, and Environment</w:t>
      </w:r>
      <w:r>
        <w:rPr>
          <w:lang w:val="en-US"/>
        </w:rPr>
        <w:br/>
        <w:t>Chalmers University of technology 412 96, Gothenburg, Sweden.</w:t>
      </w:r>
      <w:r>
        <w:rPr>
          <w:lang w:val="en-US"/>
        </w:rPr>
        <w:br/>
        <w:t>Email: rehnan@chalmers.se</w:t>
      </w:r>
      <w:r>
        <w:fldChar w:fldCharType="begin"/>
      </w:r>
      <w:r>
        <w:rPr>
          <w:lang w:val="en-US"/>
        </w:rPr>
        <w:instrText>ADDIN EN.CITE &lt;EndNote&gt;&lt;Cite Hidden="1"&gt;&lt;Author&gt;Eriksson&lt;/Author&gt;&lt;Year&gt;2010&lt;/Year&gt;&lt;RecNum&gt;125&lt;/RecNum&gt;&lt;record&gt;&lt;rec-number&gt;125&lt;/rec-number&gt;&lt;foreign-keys&gt;&lt;key app="EN" db-id="rtwv5a2fddt5wuedzt2p0sdd2fp02t9rdvft" timestamp="1688572588"&gt;125&lt;/key&gt;&lt;/foreign-keys&gt;&lt;ref-type name="Journal Article"&gt;17&lt;/ref-type&gt;&lt;contributors&gt;&lt;authors&gt;&lt;author&gt;Eriksson, J.&lt;/author&gt;&lt;/authors&gt;&lt;/contributors&gt;&lt;titles&gt;&lt;title&gt;Tillståndet i svensk åkermark och gröda - Data från 2011-2017. Current status of Swedish arable soils and cereal crops.&lt;/title&gt;&lt;secondary-title&gt;Institutionen för mark och miljö, Sveriges lantbruksuniversitet. Ekohydrologi ; 168 [Rapport]. &lt;/secondary-title&gt;&lt;/titles&gt;&lt;dates&gt;&lt;year&gt;2010&lt;/year&gt;&lt;/dates&gt;&lt;urls&gt;&lt;/urls&gt;&lt;/record&gt;&lt;/Cite&gt;&lt;/EndNote&gt;</w:instrText>
      </w:r>
      <w:r w:rsidR="00036F3F">
        <w:rPr>
          <w:lang w:val="en-US"/>
        </w:rPr>
        <w:fldChar w:fldCharType="separate"/>
      </w:r>
      <w:r>
        <w:rPr>
          <w:lang w:val="en-US"/>
        </w:rPr>
        <w:fldChar w:fldCharType="end"/>
      </w:r>
    </w:p>
    <w:p w14:paraId="29BEAF28" w14:textId="77777777" w:rsidR="00022ADC" w:rsidRDefault="00022ADC" w:rsidP="00022ADC">
      <w:pPr>
        <w:rPr>
          <w:rFonts w:ascii="Times New Roman" w:hAnsi="Times New Roman" w:cs="Times New Roman"/>
          <w:color w:val="000000" w:themeColor="text1"/>
          <w:lang w:val="en-US"/>
        </w:rPr>
      </w:pPr>
    </w:p>
    <w:p w14:paraId="13525E09" w14:textId="77777777" w:rsidR="001F64BB" w:rsidRDefault="001F64BB"/>
    <w:sectPr w:rsidR="001F64BB">
      <w:footerReference w:type="even" r:id="rId13"/>
      <w:footerReference w:type="default" r:id="rId14"/>
      <w:pgSz w:w="11906" w:h="16838"/>
      <w:pgMar w:top="1440" w:right="1440" w:bottom="1440" w:left="1440" w:header="0" w:footer="0" w:gutter="0"/>
      <w:pgNumType w:start="1"/>
      <w:cols w:space="720"/>
      <w:formProt w:val="0"/>
      <w:titlePg/>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9C733" w14:textId="77777777" w:rsidR="00E952B3" w:rsidRDefault="00E952B3">
      <w:pPr>
        <w:spacing w:after="0" w:line="240" w:lineRule="auto"/>
      </w:pPr>
      <w:r>
        <w:separator/>
      </w:r>
    </w:p>
  </w:endnote>
  <w:endnote w:type="continuationSeparator" w:id="0">
    <w:p w14:paraId="7E5F09BB" w14:textId="77777777" w:rsidR="00E952B3" w:rsidRDefault="00E95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832883"/>
      <w:docPartObj>
        <w:docPartGallery w:val="Page Numbers (Bottom of Page)"/>
        <w:docPartUnique/>
      </w:docPartObj>
    </w:sdtPr>
    <w:sdtEndPr/>
    <w:sdtContent>
      <w:p w14:paraId="393B4018" w14:textId="77777777" w:rsidR="007B07BA" w:rsidRDefault="007B07BA">
        <w:pPr>
          <w:pStyle w:val="Sidfot"/>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rPr>
          <w:t>0</w:t>
        </w:r>
        <w:r>
          <w:rPr>
            <w:rStyle w:val="Sidnummer"/>
          </w:rPr>
          <w:fldChar w:fldCharType="end"/>
        </w:r>
      </w:p>
    </w:sdtContent>
  </w:sdt>
  <w:p w14:paraId="3116A0CD" w14:textId="77777777" w:rsidR="007B07BA" w:rsidRDefault="007B07BA">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1712031"/>
      <w:docPartObj>
        <w:docPartGallery w:val="Page Numbers (Bottom of Page)"/>
        <w:docPartUnique/>
      </w:docPartObj>
    </w:sdtPr>
    <w:sdtEndPr/>
    <w:sdtContent>
      <w:p w14:paraId="0EFB4A11" w14:textId="77777777" w:rsidR="007B07BA" w:rsidRDefault="007B07BA">
        <w:pPr>
          <w:pStyle w:val="Sidfot"/>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rPr>
          <w:t>7</w:t>
        </w:r>
        <w:r>
          <w:rPr>
            <w:rStyle w:val="Sidnummer"/>
          </w:rPr>
          <w:fldChar w:fldCharType="end"/>
        </w:r>
      </w:p>
    </w:sdtContent>
  </w:sdt>
  <w:p w14:paraId="59553056" w14:textId="77777777" w:rsidR="007B07BA" w:rsidRDefault="007B07BA">
    <w:pPr>
      <w:pStyle w:val="Sidfo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2BA91" w14:textId="77777777" w:rsidR="00E952B3" w:rsidRDefault="00E952B3">
      <w:pPr>
        <w:spacing w:after="0" w:line="240" w:lineRule="auto"/>
      </w:pPr>
      <w:r>
        <w:separator/>
      </w:r>
    </w:p>
  </w:footnote>
  <w:footnote w:type="continuationSeparator" w:id="0">
    <w:p w14:paraId="01E5D27F" w14:textId="77777777" w:rsidR="00E952B3" w:rsidRDefault="00E952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DC"/>
    <w:rsid w:val="00022ADC"/>
    <w:rsid w:val="000254DF"/>
    <w:rsid w:val="0002767E"/>
    <w:rsid w:val="00031C3D"/>
    <w:rsid w:val="00035778"/>
    <w:rsid w:val="00035E33"/>
    <w:rsid w:val="00036F3F"/>
    <w:rsid w:val="00054658"/>
    <w:rsid w:val="000558FA"/>
    <w:rsid w:val="00067999"/>
    <w:rsid w:val="00075752"/>
    <w:rsid w:val="000829BC"/>
    <w:rsid w:val="0008400E"/>
    <w:rsid w:val="00090E4E"/>
    <w:rsid w:val="0009305C"/>
    <w:rsid w:val="0009799C"/>
    <w:rsid w:val="000A708A"/>
    <w:rsid w:val="000B3571"/>
    <w:rsid w:val="000B6E94"/>
    <w:rsid w:val="000B763A"/>
    <w:rsid w:val="000C04B8"/>
    <w:rsid w:val="000C0E80"/>
    <w:rsid w:val="000D3CDC"/>
    <w:rsid w:val="000E0A2D"/>
    <w:rsid w:val="000E2648"/>
    <w:rsid w:val="000E4220"/>
    <w:rsid w:val="000E6A97"/>
    <w:rsid w:val="00103F98"/>
    <w:rsid w:val="00111405"/>
    <w:rsid w:val="0011256A"/>
    <w:rsid w:val="00113C6B"/>
    <w:rsid w:val="00115BA4"/>
    <w:rsid w:val="00117D61"/>
    <w:rsid w:val="00136F9D"/>
    <w:rsid w:val="0015422F"/>
    <w:rsid w:val="00154329"/>
    <w:rsid w:val="00154AA3"/>
    <w:rsid w:val="00163247"/>
    <w:rsid w:val="00170DF3"/>
    <w:rsid w:val="001824F3"/>
    <w:rsid w:val="001833D3"/>
    <w:rsid w:val="00186603"/>
    <w:rsid w:val="001870ED"/>
    <w:rsid w:val="0019792E"/>
    <w:rsid w:val="001A1A8E"/>
    <w:rsid w:val="001A47D0"/>
    <w:rsid w:val="001A4BA7"/>
    <w:rsid w:val="001B0F87"/>
    <w:rsid w:val="001C2B10"/>
    <w:rsid w:val="001C7AF5"/>
    <w:rsid w:val="001D0C0D"/>
    <w:rsid w:val="001D43F1"/>
    <w:rsid w:val="001D4F8B"/>
    <w:rsid w:val="001D64E2"/>
    <w:rsid w:val="001E22C7"/>
    <w:rsid w:val="001E46D9"/>
    <w:rsid w:val="001F64BB"/>
    <w:rsid w:val="00206D86"/>
    <w:rsid w:val="00211676"/>
    <w:rsid w:val="00215E0F"/>
    <w:rsid w:val="00220302"/>
    <w:rsid w:val="00232155"/>
    <w:rsid w:val="002321C0"/>
    <w:rsid w:val="0024757C"/>
    <w:rsid w:val="00264E47"/>
    <w:rsid w:val="00273D48"/>
    <w:rsid w:val="002805E4"/>
    <w:rsid w:val="0028246E"/>
    <w:rsid w:val="002859DF"/>
    <w:rsid w:val="002946FF"/>
    <w:rsid w:val="002B0416"/>
    <w:rsid w:val="002C4E65"/>
    <w:rsid w:val="002C5A9E"/>
    <w:rsid w:val="002E5BE4"/>
    <w:rsid w:val="002E600B"/>
    <w:rsid w:val="003106A5"/>
    <w:rsid w:val="0031386F"/>
    <w:rsid w:val="00326D39"/>
    <w:rsid w:val="0032740E"/>
    <w:rsid w:val="003275CA"/>
    <w:rsid w:val="003279E8"/>
    <w:rsid w:val="0033151F"/>
    <w:rsid w:val="003321A5"/>
    <w:rsid w:val="00350C85"/>
    <w:rsid w:val="00355211"/>
    <w:rsid w:val="00375F40"/>
    <w:rsid w:val="0037609A"/>
    <w:rsid w:val="00377789"/>
    <w:rsid w:val="003809B1"/>
    <w:rsid w:val="003A1B7E"/>
    <w:rsid w:val="003A6579"/>
    <w:rsid w:val="003A791C"/>
    <w:rsid w:val="003B03C8"/>
    <w:rsid w:val="003B04F5"/>
    <w:rsid w:val="003B55F3"/>
    <w:rsid w:val="003B7E5E"/>
    <w:rsid w:val="003C6151"/>
    <w:rsid w:val="003C6881"/>
    <w:rsid w:val="003D54DC"/>
    <w:rsid w:val="003E2416"/>
    <w:rsid w:val="00404BD3"/>
    <w:rsid w:val="00423C05"/>
    <w:rsid w:val="00424FBD"/>
    <w:rsid w:val="004269BA"/>
    <w:rsid w:val="00457DA4"/>
    <w:rsid w:val="00463E70"/>
    <w:rsid w:val="004658DC"/>
    <w:rsid w:val="004667A1"/>
    <w:rsid w:val="00473A98"/>
    <w:rsid w:val="00474794"/>
    <w:rsid w:val="00481DE5"/>
    <w:rsid w:val="004820A3"/>
    <w:rsid w:val="004865C4"/>
    <w:rsid w:val="004922FD"/>
    <w:rsid w:val="0049788D"/>
    <w:rsid w:val="004A632D"/>
    <w:rsid w:val="004B2213"/>
    <w:rsid w:val="004C3954"/>
    <w:rsid w:val="004D5B5E"/>
    <w:rsid w:val="004D67FD"/>
    <w:rsid w:val="004D6C2A"/>
    <w:rsid w:val="004D7E28"/>
    <w:rsid w:val="004E2857"/>
    <w:rsid w:val="004F0F3B"/>
    <w:rsid w:val="00500232"/>
    <w:rsid w:val="005135B8"/>
    <w:rsid w:val="0051440C"/>
    <w:rsid w:val="00516264"/>
    <w:rsid w:val="00516B54"/>
    <w:rsid w:val="005265A3"/>
    <w:rsid w:val="00544043"/>
    <w:rsid w:val="00553246"/>
    <w:rsid w:val="00553CBA"/>
    <w:rsid w:val="00561FC7"/>
    <w:rsid w:val="00567B03"/>
    <w:rsid w:val="00572E01"/>
    <w:rsid w:val="00573B9D"/>
    <w:rsid w:val="005756FF"/>
    <w:rsid w:val="005758BD"/>
    <w:rsid w:val="00585B81"/>
    <w:rsid w:val="0058751B"/>
    <w:rsid w:val="00592FB8"/>
    <w:rsid w:val="005960BB"/>
    <w:rsid w:val="005A1EA1"/>
    <w:rsid w:val="005A389D"/>
    <w:rsid w:val="005A757E"/>
    <w:rsid w:val="005B7639"/>
    <w:rsid w:val="005E252F"/>
    <w:rsid w:val="005E44C5"/>
    <w:rsid w:val="005E56CF"/>
    <w:rsid w:val="0060011C"/>
    <w:rsid w:val="00601030"/>
    <w:rsid w:val="006260B9"/>
    <w:rsid w:val="006266E0"/>
    <w:rsid w:val="006313E8"/>
    <w:rsid w:val="006475BD"/>
    <w:rsid w:val="006515D2"/>
    <w:rsid w:val="00653EF1"/>
    <w:rsid w:val="006541AD"/>
    <w:rsid w:val="0065463F"/>
    <w:rsid w:val="00671F39"/>
    <w:rsid w:val="006733F2"/>
    <w:rsid w:val="006904B8"/>
    <w:rsid w:val="006A0686"/>
    <w:rsid w:val="006A6B7C"/>
    <w:rsid w:val="006B4DB6"/>
    <w:rsid w:val="006C0E5A"/>
    <w:rsid w:val="006C35F8"/>
    <w:rsid w:val="006D020B"/>
    <w:rsid w:val="006D14B0"/>
    <w:rsid w:val="006D7645"/>
    <w:rsid w:val="006E49CC"/>
    <w:rsid w:val="006E5F31"/>
    <w:rsid w:val="006E6ECE"/>
    <w:rsid w:val="006F1687"/>
    <w:rsid w:val="0070216C"/>
    <w:rsid w:val="00703277"/>
    <w:rsid w:val="0070457C"/>
    <w:rsid w:val="00705C32"/>
    <w:rsid w:val="0071186B"/>
    <w:rsid w:val="007121B0"/>
    <w:rsid w:val="007128ED"/>
    <w:rsid w:val="00716F23"/>
    <w:rsid w:val="007336B0"/>
    <w:rsid w:val="0073390A"/>
    <w:rsid w:val="0073393B"/>
    <w:rsid w:val="007427CD"/>
    <w:rsid w:val="007441FF"/>
    <w:rsid w:val="00750048"/>
    <w:rsid w:val="00756AAA"/>
    <w:rsid w:val="00763865"/>
    <w:rsid w:val="007674F2"/>
    <w:rsid w:val="00777136"/>
    <w:rsid w:val="00796903"/>
    <w:rsid w:val="00796D36"/>
    <w:rsid w:val="007A1A0A"/>
    <w:rsid w:val="007A3183"/>
    <w:rsid w:val="007B07BA"/>
    <w:rsid w:val="007B383D"/>
    <w:rsid w:val="007D2139"/>
    <w:rsid w:val="007D34E7"/>
    <w:rsid w:val="007D7A49"/>
    <w:rsid w:val="007E1B7B"/>
    <w:rsid w:val="007E33AC"/>
    <w:rsid w:val="007F2F86"/>
    <w:rsid w:val="007F5142"/>
    <w:rsid w:val="00805C0A"/>
    <w:rsid w:val="008120BF"/>
    <w:rsid w:val="008310F2"/>
    <w:rsid w:val="008318C2"/>
    <w:rsid w:val="00835B53"/>
    <w:rsid w:val="008403F1"/>
    <w:rsid w:val="008408E0"/>
    <w:rsid w:val="008469B1"/>
    <w:rsid w:val="00847480"/>
    <w:rsid w:val="0085263F"/>
    <w:rsid w:val="00852EF0"/>
    <w:rsid w:val="008540BB"/>
    <w:rsid w:val="00866870"/>
    <w:rsid w:val="008672E8"/>
    <w:rsid w:val="00872D29"/>
    <w:rsid w:val="00896D60"/>
    <w:rsid w:val="008A3474"/>
    <w:rsid w:val="008B1BE7"/>
    <w:rsid w:val="008B4D6F"/>
    <w:rsid w:val="008C0883"/>
    <w:rsid w:val="008C148D"/>
    <w:rsid w:val="008D2198"/>
    <w:rsid w:val="008D2C15"/>
    <w:rsid w:val="008D2CC7"/>
    <w:rsid w:val="008E1B7F"/>
    <w:rsid w:val="008E3F4B"/>
    <w:rsid w:val="008F116A"/>
    <w:rsid w:val="008F7FDA"/>
    <w:rsid w:val="00902F54"/>
    <w:rsid w:val="00910507"/>
    <w:rsid w:val="00917D16"/>
    <w:rsid w:val="00924D87"/>
    <w:rsid w:val="00926F4B"/>
    <w:rsid w:val="009358D0"/>
    <w:rsid w:val="00936727"/>
    <w:rsid w:val="009463D6"/>
    <w:rsid w:val="00950433"/>
    <w:rsid w:val="00954B2A"/>
    <w:rsid w:val="009575DF"/>
    <w:rsid w:val="00960982"/>
    <w:rsid w:val="00960DF8"/>
    <w:rsid w:val="00963F7C"/>
    <w:rsid w:val="00965CAB"/>
    <w:rsid w:val="009741F9"/>
    <w:rsid w:val="00977D98"/>
    <w:rsid w:val="009917D3"/>
    <w:rsid w:val="00995A0E"/>
    <w:rsid w:val="009A5F73"/>
    <w:rsid w:val="009B1D73"/>
    <w:rsid w:val="009B3932"/>
    <w:rsid w:val="009B7B85"/>
    <w:rsid w:val="009D77A1"/>
    <w:rsid w:val="009E153E"/>
    <w:rsid w:val="009F3BD4"/>
    <w:rsid w:val="00A0506B"/>
    <w:rsid w:val="00A07E7D"/>
    <w:rsid w:val="00A1707A"/>
    <w:rsid w:val="00A27F06"/>
    <w:rsid w:val="00A34922"/>
    <w:rsid w:val="00A3598D"/>
    <w:rsid w:val="00A35EAD"/>
    <w:rsid w:val="00A46541"/>
    <w:rsid w:val="00A5048E"/>
    <w:rsid w:val="00A5726E"/>
    <w:rsid w:val="00A575F9"/>
    <w:rsid w:val="00A61095"/>
    <w:rsid w:val="00A648A2"/>
    <w:rsid w:val="00A656C5"/>
    <w:rsid w:val="00A65A1B"/>
    <w:rsid w:val="00A65D63"/>
    <w:rsid w:val="00A71745"/>
    <w:rsid w:val="00A75202"/>
    <w:rsid w:val="00A77A57"/>
    <w:rsid w:val="00A836B4"/>
    <w:rsid w:val="00A91EB7"/>
    <w:rsid w:val="00A963B5"/>
    <w:rsid w:val="00AA31AE"/>
    <w:rsid w:val="00AB47E5"/>
    <w:rsid w:val="00AE3831"/>
    <w:rsid w:val="00AE5091"/>
    <w:rsid w:val="00B010EE"/>
    <w:rsid w:val="00B040EE"/>
    <w:rsid w:val="00B06DFF"/>
    <w:rsid w:val="00B13B15"/>
    <w:rsid w:val="00B1513C"/>
    <w:rsid w:val="00B15DBC"/>
    <w:rsid w:val="00B355E9"/>
    <w:rsid w:val="00B36B62"/>
    <w:rsid w:val="00B44580"/>
    <w:rsid w:val="00B4544C"/>
    <w:rsid w:val="00B470AE"/>
    <w:rsid w:val="00B5177B"/>
    <w:rsid w:val="00B702F4"/>
    <w:rsid w:val="00B71BDF"/>
    <w:rsid w:val="00B75373"/>
    <w:rsid w:val="00B8089B"/>
    <w:rsid w:val="00B8331C"/>
    <w:rsid w:val="00B85AA1"/>
    <w:rsid w:val="00B91053"/>
    <w:rsid w:val="00B9483F"/>
    <w:rsid w:val="00BB1ACD"/>
    <w:rsid w:val="00BD22BF"/>
    <w:rsid w:val="00BD7F2C"/>
    <w:rsid w:val="00BE24A4"/>
    <w:rsid w:val="00BE5252"/>
    <w:rsid w:val="00BF5748"/>
    <w:rsid w:val="00BF681A"/>
    <w:rsid w:val="00BF7F33"/>
    <w:rsid w:val="00C02DB5"/>
    <w:rsid w:val="00C0695D"/>
    <w:rsid w:val="00C13574"/>
    <w:rsid w:val="00C220FC"/>
    <w:rsid w:val="00C23F63"/>
    <w:rsid w:val="00C31839"/>
    <w:rsid w:val="00C322F0"/>
    <w:rsid w:val="00C479BC"/>
    <w:rsid w:val="00C623DF"/>
    <w:rsid w:val="00C62D53"/>
    <w:rsid w:val="00C70D8C"/>
    <w:rsid w:val="00C74C3C"/>
    <w:rsid w:val="00C9099C"/>
    <w:rsid w:val="00CA0E6C"/>
    <w:rsid w:val="00CA4421"/>
    <w:rsid w:val="00CB625C"/>
    <w:rsid w:val="00CC3935"/>
    <w:rsid w:val="00CC62ED"/>
    <w:rsid w:val="00CD4B01"/>
    <w:rsid w:val="00CE3663"/>
    <w:rsid w:val="00CE52C1"/>
    <w:rsid w:val="00CE7D62"/>
    <w:rsid w:val="00D040F9"/>
    <w:rsid w:val="00D10164"/>
    <w:rsid w:val="00D11B29"/>
    <w:rsid w:val="00D151A9"/>
    <w:rsid w:val="00D23AB5"/>
    <w:rsid w:val="00D26B49"/>
    <w:rsid w:val="00D30BBB"/>
    <w:rsid w:val="00D3152A"/>
    <w:rsid w:val="00D36E1B"/>
    <w:rsid w:val="00D421E7"/>
    <w:rsid w:val="00D91080"/>
    <w:rsid w:val="00D958B0"/>
    <w:rsid w:val="00DA2867"/>
    <w:rsid w:val="00DB285F"/>
    <w:rsid w:val="00DB632A"/>
    <w:rsid w:val="00DD3C41"/>
    <w:rsid w:val="00DD3FE3"/>
    <w:rsid w:val="00DE2CAC"/>
    <w:rsid w:val="00DE4821"/>
    <w:rsid w:val="00DF33C9"/>
    <w:rsid w:val="00E004A9"/>
    <w:rsid w:val="00E06965"/>
    <w:rsid w:val="00E1738A"/>
    <w:rsid w:val="00E175D0"/>
    <w:rsid w:val="00E3740F"/>
    <w:rsid w:val="00E40EF4"/>
    <w:rsid w:val="00E504CA"/>
    <w:rsid w:val="00E52014"/>
    <w:rsid w:val="00E65B88"/>
    <w:rsid w:val="00E73016"/>
    <w:rsid w:val="00E74A7E"/>
    <w:rsid w:val="00E772F6"/>
    <w:rsid w:val="00E8207F"/>
    <w:rsid w:val="00E86169"/>
    <w:rsid w:val="00E902E2"/>
    <w:rsid w:val="00E952B3"/>
    <w:rsid w:val="00EB1479"/>
    <w:rsid w:val="00EB5D35"/>
    <w:rsid w:val="00EC5542"/>
    <w:rsid w:val="00EC791B"/>
    <w:rsid w:val="00ED0D13"/>
    <w:rsid w:val="00EE1048"/>
    <w:rsid w:val="00EE6FFB"/>
    <w:rsid w:val="00EF0A37"/>
    <w:rsid w:val="00F01224"/>
    <w:rsid w:val="00F02BCC"/>
    <w:rsid w:val="00F13E96"/>
    <w:rsid w:val="00F21CDE"/>
    <w:rsid w:val="00F22709"/>
    <w:rsid w:val="00F24BFC"/>
    <w:rsid w:val="00F26053"/>
    <w:rsid w:val="00F4388C"/>
    <w:rsid w:val="00F60708"/>
    <w:rsid w:val="00F66859"/>
    <w:rsid w:val="00F71E77"/>
    <w:rsid w:val="00F73721"/>
    <w:rsid w:val="00F8200E"/>
    <w:rsid w:val="00F833F1"/>
    <w:rsid w:val="00F930E5"/>
    <w:rsid w:val="00F9558E"/>
    <w:rsid w:val="00F9736F"/>
    <w:rsid w:val="00FA587A"/>
    <w:rsid w:val="00FC49D3"/>
    <w:rsid w:val="00FC5677"/>
    <w:rsid w:val="00FD1549"/>
    <w:rsid w:val="00FD4E00"/>
    <w:rsid w:val="00FE7A0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C6D4"/>
  <w15:chartTrackingRefBased/>
  <w15:docId w15:val="{B93E1A98-5117-D649-90B7-163F9868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ADC"/>
    <w:pPr>
      <w:suppressAutoHyphens/>
      <w:spacing w:after="160" w:line="259" w:lineRule="auto"/>
    </w:pPr>
    <w:rPr>
      <w:kern w:val="0"/>
      <w:sz w:val="22"/>
      <w:szCs w:val="22"/>
      <w14:ligatures w14:val="none"/>
    </w:rPr>
  </w:style>
  <w:style w:type="paragraph" w:styleId="Rubrik1">
    <w:name w:val="heading 1"/>
    <w:basedOn w:val="Normal"/>
    <w:next w:val="Normal"/>
    <w:link w:val="Rubrik1Char"/>
    <w:autoRedefine/>
    <w:uiPriority w:val="9"/>
    <w:qFormat/>
    <w:rsid w:val="007128ED"/>
    <w:pPr>
      <w:keepNext/>
      <w:keepLines/>
      <w:suppressAutoHyphens w:val="0"/>
      <w:spacing w:before="360" w:after="120"/>
      <w:outlineLvl w:val="0"/>
    </w:pPr>
    <w:rPr>
      <w:rFonts w:ascii="Times New Roman" w:eastAsiaTheme="majorEastAsia" w:hAnsi="Times New Roman" w:cstheme="majorBidi"/>
      <w:b/>
      <w:color w:val="000000" w:themeColor="text1"/>
      <w:kern w:val="2"/>
      <w:sz w:val="32"/>
      <w:szCs w:val="32"/>
      <w14:ligatures w14:val="standardContextual"/>
    </w:rPr>
  </w:style>
  <w:style w:type="paragraph" w:styleId="Rubrik2">
    <w:name w:val="heading 2"/>
    <w:basedOn w:val="Normal"/>
    <w:next w:val="Normal"/>
    <w:link w:val="Rubrik2Char"/>
    <w:autoRedefine/>
    <w:uiPriority w:val="9"/>
    <w:unhideWhenUsed/>
    <w:qFormat/>
    <w:rsid w:val="007128ED"/>
    <w:pPr>
      <w:keepNext/>
      <w:keepLines/>
      <w:suppressAutoHyphens w:val="0"/>
      <w:spacing w:before="40" w:after="0"/>
      <w:outlineLvl w:val="1"/>
    </w:pPr>
    <w:rPr>
      <w:rFonts w:ascii="Times New Roman" w:eastAsiaTheme="majorEastAsia" w:hAnsi="Times New Roman" w:cstheme="majorBidi"/>
      <w:b/>
      <w:color w:val="000000" w:themeColor="text1"/>
      <w:kern w:val="2"/>
      <w:sz w:val="28"/>
      <w:szCs w:val="26"/>
      <w14:ligatures w14:val="standardContextual"/>
    </w:rPr>
  </w:style>
  <w:style w:type="paragraph" w:styleId="Rubrik3">
    <w:name w:val="heading 3"/>
    <w:basedOn w:val="Normal"/>
    <w:next w:val="Normal"/>
    <w:link w:val="Rubrik3Char"/>
    <w:autoRedefine/>
    <w:uiPriority w:val="9"/>
    <w:unhideWhenUsed/>
    <w:qFormat/>
    <w:rsid w:val="00CE3663"/>
    <w:pPr>
      <w:keepNext/>
      <w:keepLines/>
      <w:suppressAutoHyphens w:val="0"/>
      <w:spacing w:before="40" w:after="0"/>
      <w:outlineLvl w:val="2"/>
    </w:pPr>
    <w:rPr>
      <w:rFonts w:ascii="Times New Roman" w:eastAsiaTheme="majorEastAsia" w:hAnsi="Times New Roman" w:cstheme="majorBidi"/>
      <w:b/>
      <w:color w:val="000000" w:themeColor="text1"/>
      <w:kern w:val="2"/>
      <w:sz w:val="24"/>
      <w:szCs w:val="24"/>
      <w14:ligatures w14:val="standardContextual"/>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qFormat/>
    <w:rsid w:val="007128ED"/>
    <w:rPr>
      <w:rFonts w:ascii="Times New Roman" w:eastAsiaTheme="majorEastAsia" w:hAnsi="Times New Roman" w:cstheme="majorBidi"/>
      <w:b/>
      <w:color w:val="000000" w:themeColor="text1"/>
      <w:sz w:val="28"/>
      <w:szCs w:val="26"/>
    </w:rPr>
  </w:style>
  <w:style w:type="character" w:customStyle="1" w:styleId="Rubrik1Char">
    <w:name w:val="Rubrik 1 Char"/>
    <w:basedOn w:val="Standardstycketeckensnitt"/>
    <w:link w:val="Rubrik1"/>
    <w:uiPriority w:val="9"/>
    <w:qFormat/>
    <w:rsid w:val="007128ED"/>
    <w:rPr>
      <w:rFonts w:ascii="Times New Roman" w:eastAsiaTheme="majorEastAsia" w:hAnsi="Times New Roman" w:cstheme="majorBidi"/>
      <w:b/>
      <w:color w:val="000000" w:themeColor="text1"/>
      <w:sz w:val="32"/>
      <w:szCs w:val="32"/>
    </w:rPr>
  </w:style>
  <w:style w:type="character" w:customStyle="1" w:styleId="Rubrik3Char">
    <w:name w:val="Rubrik 3 Char"/>
    <w:basedOn w:val="Standardstycketeckensnitt"/>
    <w:link w:val="Rubrik3"/>
    <w:uiPriority w:val="9"/>
    <w:qFormat/>
    <w:rsid w:val="00CE3663"/>
    <w:rPr>
      <w:rFonts w:ascii="Times New Roman" w:eastAsiaTheme="majorEastAsia" w:hAnsi="Times New Roman" w:cstheme="majorBidi"/>
      <w:b/>
      <w:color w:val="000000" w:themeColor="text1"/>
    </w:rPr>
  </w:style>
  <w:style w:type="character" w:customStyle="1" w:styleId="BrdtextChar">
    <w:name w:val="Brödtext Char"/>
    <w:basedOn w:val="Standardstycketeckensnitt"/>
    <w:link w:val="Brdtext"/>
    <w:qFormat/>
    <w:rsid w:val="00022ADC"/>
  </w:style>
  <w:style w:type="character" w:customStyle="1" w:styleId="EndNoteBibliographyChar">
    <w:name w:val="EndNote Bibliography Char"/>
    <w:basedOn w:val="Standardstycketeckensnitt"/>
    <w:link w:val="EndNoteBibliography"/>
    <w:qFormat/>
    <w:rsid w:val="00022ADC"/>
    <w:rPr>
      <w:rFonts w:ascii="Calibri" w:hAnsi="Calibri" w:cs="Calibri"/>
    </w:rPr>
  </w:style>
  <w:style w:type="character" w:styleId="Hyperlnk">
    <w:name w:val="Hyperlink"/>
    <w:basedOn w:val="Standardstycketeckensnitt"/>
    <w:uiPriority w:val="99"/>
    <w:unhideWhenUsed/>
    <w:rsid w:val="00022ADC"/>
    <w:rPr>
      <w:color w:val="0563C1" w:themeColor="hyperlink"/>
      <w:u w:val="single"/>
    </w:rPr>
  </w:style>
  <w:style w:type="character" w:customStyle="1" w:styleId="SidfotChar">
    <w:name w:val="Sidfot Char"/>
    <w:basedOn w:val="Standardstycketeckensnitt"/>
    <w:link w:val="Sidfot"/>
    <w:uiPriority w:val="99"/>
    <w:qFormat/>
    <w:rsid w:val="00022ADC"/>
  </w:style>
  <w:style w:type="character" w:styleId="Sidnummer">
    <w:name w:val="page number"/>
    <w:basedOn w:val="Standardstycketeckensnitt"/>
    <w:uiPriority w:val="99"/>
    <w:semiHidden/>
    <w:unhideWhenUsed/>
    <w:qFormat/>
    <w:rsid w:val="00022ADC"/>
  </w:style>
  <w:style w:type="character" w:customStyle="1" w:styleId="IndexLink">
    <w:name w:val="Index Link"/>
    <w:qFormat/>
    <w:rsid w:val="00022ADC"/>
  </w:style>
  <w:style w:type="paragraph" w:styleId="Brdtext">
    <w:name w:val="Body Text"/>
    <w:basedOn w:val="Normal"/>
    <w:link w:val="BrdtextChar"/>
    <w:rsid w:val="00022ADC"/>
    <w:pPr>
      <w:spacing w:after="140" w:line="276" w:lineRule="auto"/>
    </w:pPr>
    <w:rPr>
      <w:kern w:val="2"/>
      <w:sz w:val="24"/>
      <w:szCs w:val="24"/>
      <w14:ligatures w14:val="standardContextual"/>
    </w:rPr>
  </w:style>
  <w:style w:type="character" w:customStyle="1" w:styleId="BrdtextChar1">
    <w:name w:val="Brödtext Char1"/>
    <w:basedOn w:val="Standardstycketeckensnitt"/>
    <w:uiPriority w:val="99"/>
    <w:semiHidden/>
    <w:rsid w:val="00022ADC"/>
    <w:rPr>
      <w:kern w:val="0"/>
      <w:sz w:val="22"/>
      <w:szCs w:val="22"/>
      <w14:ligatures w14:val="none"/>
    </w:rPr>
  </w:style>
  <w:style w:type="paragraph" w:styleId="Innehllsfrteckningsrubrik">
    <w:name w:val="TOC Heading"/>
    <w:basedOn w:val="Rubrik1"/>
    <w:next w:val="Normal"/>
    <w:uiPriority w:val="39"/>
    <w:unhideWhenUsed/>
    <w:qFormat/>
    <w:rsid w:val="00022ADC"/>
    <w:pPr>
      <w:suppressAutoHyphens/>
      <w:spacing w:before="480" w:after="0" w:line="276" w:lineRule="auto"/>
      <w:outlineLvl w:val="9"/>
    </w:pPr>
    <w:rPr>
      <w:rFonts w:asciiTheme="majorHAnsi" w:hAnsiTheme="majorHAnsi"/>
      <w:bCs/>
      <w:color w:val="2F5496" w:themeColor="accent1" w:themeShade="BF"/>
      <w:kern w:val="0"/>
      <w:sz w:val="28"/>
      <w:szCs w:val="28"/>
      <w:lang w:eastAsia="sv-SE"/>
      <w14:ligatures w14:val="none"/>
    </w:rPr>
  </w:style>
  <w:style w:type="paragraph" w:styleId="Innehll1">
    <w:name w:val="toc 1"/>
    <w:basedOn w:val="Normal"/>
    <w:next w:val="Normal"/>
    <w:autoRedefine/>
    <w:uiPriority w:val="39"/>
    <w:unhideWhenUsed/>
    <w:rsid w:val="00022ADC"/>
    <w:pPr>
      <w:spacing w:before="240" w:after="120"/>
    </w:pPr>
    <w:rPr>
      <w:rFonts w:cstheme="minorHAnsi"/>
      <w:b/>
      <w:bCs/>
      <w:sz w:val="20"/>
      <w:szCs w:val="20"/>
    </w:rPr>
  </w:style>
  <w:style w:type="paragraph" w:styleId="Innehll2">
    <w:name w:val="toc 2"/>
    <w:basedOn w:val="Normal"/>
    <w:next w:val="Normal"/>
    <w:autoRedefine/>
    <w:uiPriority w:val="39"/>
    <w:unhideWhenUsed/>
    <w:rsid w:val="00022ADC"/>
    <w:pPr>
      <w:spacing w:before="120" w:after="0"/>
      <w:ind w:left="220"/>
    </w:pPr>
    <w:rPr>
      <w:rFonts w:cstheme="minorHAnsi"/>
      <w:i/>
      <w:iCs/>
      <w:sz w:val="20"/>
      <w:szCs w:val="20"/>
    </w:rPr>
  </w:style>
  <w:style w:type="paragraph" w:styleId="Innehll3">
    <w:name w:val="toc 3"/>
    <w:basedOn w:val="Normal"/>
    <w:next w:val="Normal"/>
    <w:autoRedefine/>
    <w:uiPriority w:val="39"/>
    <w:unhideWhenUsed/>
    <w:rsid w:val="00022ADC"/>
    <w:pPr>
      <w:spacing w:after="0"/>
      <w:ind w:left="440"/>
    </w:pPr>
    <w:rPr>
      <w:rFonts w:cstheme="minorHAnsi"/>
      <w:sz w:val="20"/>
      <w:szCs w:val="20"/>
    </w:rPr>
  </w:style>
  <w:style w:type="paragraph" w:customStyle="1" w:styleId="EndNoteBibliography">
    <w:name w:val="EndNote Bibliography"/>
    <w:basedOn w:val="Normal"/>
    <w:link w:val="EndNoteBibliographyChar"/>
    <w:qFormat/>
    <w:rsid w:val="00022ADC"/>
    <w:pPr>
      <w:spacing w:line="240" w:lineRule="auto"/>
    </w:pPr>
    <w:rPr>
      <w:rFonts w:ascii="Calibri" w:hAnsi="Calibri" w:cs="Calibri"/>
      <w:kern w:val="2"/>
      <w:sz w:val="24"/>
      <w:szCs w:val="24"/>
      <w14:ligatures w14:val="standardContextual"/>
    </w:rPr>
  </w:style>
  <w:style w:type="paragraph" w:styleId="Sidfot">
    <w:name w:val="footer"/>
    <w:basedOn w:val="Normal"/>
    <w:link w:val="SidfotChar"/>
    <w:uiPriority w:val="99"/>
    <w:unhideWhenUsed/>
    <w:rsid w:val="00022ADC"/>
    <w:pPr>
      <w:tabs>
        <w:tab w:val="center" w:pos="4536"/>
        <w:tab w:val="right" w:pos="9072"/>
      </w:tabs>
      <w:spacing w:after="0" w:line="240" w:lineRule="auto"/>
    </w:pPr>
    <w:rPr>
      <w:kern w:val="2"/>
      <w:sz w:val="24"/>
      <w:szCs w:val="24"/>
      <w14:ligatures w14:val="standardContextual"/>
    </w:rPr>
  </w:style>
  <w:style w:type="character" w:customStyle="1" w:styleId="SidfotChar1">
    <w:name w:val="Sidfot Char1"/>
    <w:basedOn w:val="Standardstycketeckensnitt"/>
    <w:uiPriority w:val="99"/>
    <w:semiHidden/>
    <w:rsid w:val="00022ADC"/>
    <w:rPr>
      <w:kern w:val="0"/>
      <w:sz w:val="22"/>
      <w:szCs w:val="22"/>
      <w14:ligatures w14:val="none"/>
    </w:rPr>
  </w:style>
  <w:style w:type="table" w:styleId="Tabellrutnt">
    <w:name w:val="Table Grid"/>
    <w:basedOn w:val="Normaltabell"/>
    <w:uiPriority w:val="39"/>
    <w:rsid w:val="00022ADC"/>
    <w:pPr>
      <w:suppressAutoHyphens/>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basedOn w:val="Standardstycketeckensnitt"/>
    <w:uiPriority w:val="99"/>
    <w:semiHidden/>
    <w:unhideWhenUsed/>
    <w:rsid w:val="0028246E"/>
    <w:rPr>
      <w:sz w:val="16"/>
      <w:szCs w:val="16"/>
    </w:rPr>
  </w:style>
  <w:style w:type="paragraph" w:styleId="Kommentarer">
    <w:name w:val="annotation text"/>
    <w:basedOn w:val="Normal"/>
    <w:link w:val="KommentarerChar"/>
    <w:uiPriority w:val="99"/>
    <w:semiHidden/>
    <w:unhideWhenUsed/>
    <w:rsid w:val="0028246E"/>
    <w:pPr>
      <w:spacing w:line="240" w:lineRule="auto"/>
    </w:pPr>
    <w:rPr>
      <w:sz w:val="20"/>
      <w:szCs w:val="20"/>
    </w:rPr>
  </w:style>
  <w:style w:type="character" w:customStyle="1" w:styleId="KommentarerChar">
    <w:name w:val="Kommentarer Char"/>
    <w:basedOn w:val="Standardstycketeckensnitt"/>
    <w:link w:val="Kommentarer"/>
    <w:uiPriority w:val="99"/>
    <w:semiHidden/>
    <w:rsid w:val="0028246E"/>
    <w:rPr>
      <w:kern w:val="0"/>
      <w:sz w:val="20"/>
      <w:szCs w:val="20"/>
      <w14:ligatures w14:val="none"/>
    </w:rPr>
  </w:style>
  <w:style w:type="paragraph" w:styleId="Kommentarsmne">
    <w:name w:val="annotation subject"/>
    <w:basedOn w:val="Kommentarer"/>
    <w:next w:val="Kommentarer"/>
    <w:link w:val="KommentarsmneChar"/>
    <w:uiPriority w:val="99"/>
    <w:semiHidden/>
    <w:unhideWhenUsed/>
    <w:rsid w:val="0028246E"/>
    <w:rPr>
      <w:b/>
      <w:bCs/>
    </w:rPr>
  </w:style>
  <w:style w:type="character" w:customStyle="1" w:styleId="KommentarsmneChar">
    <w:name w:val="Kommentarsämne Char"/>
    <w:basedOn w:val="KommentarerChar"/>
    <w:link w:val="Kommentarsmne"/>
    <w:uiPriority w:val="99"/>
    <w:semiHidden/>
    <w:rsid w:val="0028246E"/>
    <w:rPr>
      <w:b/>
      <w:bCs/>
      <w:kern w:val="0"/>
      <w:sz w:val="20"/>
      <w:szCs w:val="20"/>
      <w14:ligatures w14:val="none"/>
    </w:rPr>
  </w:style>
  <w:style w:type="paragraph" w:styleId="Beskrivning">
    <w:name w:val="caption"/>
    <w:basedOn w:val="Normal"/>
    <w:next w:val="Normal"/>
    <w:uiPriority w:val="35"/>
    <w:unhideWhenUsed/>
    <w:qFormat/>
    <w:rsid w:val="008B4D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Karlstefanrehn/statistics_SASI/tree/mai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tatistik.sjv.se/PXWeb/pxweb/sv/Jordbruksverkets%20statistikdatabas/?rxid=5adf4929-f548-4f27-9bc9-78e127837625"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kalkylblad.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kalkylblad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sv-SE" sz="1400" b="0" strike="noStrike" spc="-1">
                <a:solidFill>
                  <a:srgbClr val="595959"/>
                </a:solidFill>
                <a:latin typeface="Calibri"/>
              </a:defRPr>
            </a:pPr>
            <a:r>
              <a:rPr lang="sv-SE" sz="1400" b="0" strike="noStrike" spc="-1">
                <a:solidFill>
                  <a:srgbClr val="595959"/>
                </a:solidFill>
                <a:latin typeface="Calibri"/>
              </a:rPr>
              <a:t>Regional change w wheat cultivation </a:t>
            </a:r>
          </a:p>
        </c:rich>
      </c:tx>
      <c:overlay val="0"/>
      <c:spPr>
        <a:noFill/>
        <a:ln w="0">
          <a:noFill/>
        </a:ln>
      </c:spPr>
    </c:title>
    <c:autoTitleDeleted val="0"/>
    <c:plotArea>
      <c:layout/>
      <c:barChart>
        <c:barDir val="col"/>
        <c:grouping val="clustered"/>
        <c:varyColors val="0"/>
        <c:ser>
          <c:idx val="0"/>
          <c:order val="0"/>
          <c:tx>
            <c:strRef>
              <c:f>label 0</c:f>
              <c:strCache>
                <c:ptCount val="1"/>
                <c:pt idx="0">
                  <c:v>2001 - 2007 average, ha/yr</c:v>
                </c:pt>
              </c:strCache>
            </c:strRef>
          </c:tx>
          <c:spPr>
            <a:solidFill>
              <a:srgbClr val="000000"/>
            </a:soli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sv-SE"/>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6"/>
                <c:pt idx="0">
                  <c:v>PR1</c:v>
                </c:pt>
                <c:pt idx="1">
                  <c:v>PR2</c:v>
                </c:pt>
                <c:pt idx="2">
                  <c:v>PR3</c:v>
                </c:pt>
                <c:pt idx="3">
                  <c:v>PR4</c:v>
                </c:pt>
                <c:pt idx="4">
                  <c:v>PR5</c:v>
                </c:pt>
                <c:pt idx="5">
                  <c:v>PR6</c:v>
                </c:pt>
              </c:strCache>
            </c:strRef>
          </c:cat>
          <c:val>
            <c:numRef>
              <c:f>0</c:f>
              <c:numCache>
                <c:formatCode>General</c:formatCode>
                <c:ptCount val="6"/>
                <c:pt idx="0">
                  <c:v>77898</c:v>
                </c:pt>
                <c:pt idx="1">
                  <c:v>34508</c:v>
                </c:pt>
                <c:pt idx="2">
                  <c:v>96030</c:v>
                </c:pt>
                <c:pt idx="3">
                  <c:v>91838</c:v>
                </c:pt>
                <c:pt idx="4">
                  <c:v>15287</c:v>
                </c:pt>
                <c:pt idx="5">
                  <c:v>6615</c:v>
                </c:pt>
              </c:numCache>
            </c:numRef>
          </c:val>
          <c:extLst>
            <c:ext xmlns:c16="http://schemas.microsoft.com/office/drawing/2014/chart" uri="{C3380CC4-5D6E-409C-BE32-E72D297353CC}">
              <c16:uniqueId val="{00000000-688E-A14A-8B56-88EE1ADE820E}"/>
            </c:ext>
          </c:extLst>
        </c:ser>
        <c:ser>
          <c:idx val="1"/>
          <c:order val="1"/>
          <c:tx>
            <c:strRef>
              <c:f>label 1</c:f>
              <c:strCache>
                <c:ptCount val="1"/>
                <c:pt idx="0">
                  <c:v>2011 - 2017 average, ha/yr</c:v>
                </c:pt>
              </c:strCache>
            </c:strRef>
          </c:tx>
          <c:spPr>
            <a:solidFill>
              <a:srgbClr val="D9D9D9"/>
            </a:soli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sv-SE"/>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6"/>
                <c:pt idx="0">
                  <c:v>PR1</c:v>
                </c:pt>
                <c:pt idx="1">
                  <c:v>PR2</c:v>
                </c:pt>
                <c:pt idx="2">
                  <c:v>PR3</c:v>
                </c:pt>
                <c:pt idx="3">
                  <c:v>PR4</c:v>
                </c:pt>
                <c:pt idx="4">
                  <c:v>PR5</c:v>
                </c:pt>
                <c:pt idx="5">
                  <c:v>PR6</c:v>
                </c:pt>
              </c:strCache>
            </c:strRef>
          </c:cat>
          <c:val>
            <c:numRef>
              <c:f>1</c:f>
              <c:numCache>
                <c:formatCode>General</c:formatCode>
                <c:ptCount val="6"/>
                <c:pt idx="0">
                  <c:v>83371</c:v>
                </c:pt>
                <c:pt idx="1">
                  <c:v>42043</c:v>
                </c:pt>
                <c:pt idx="2">
                  <c:v>99817</c:v>
                </c:pt>
                <c:pt idx="3">
                  <c:v>93670</c:v>
                </c:pt>
                <c:pt idx="4">
                  <c:v>14996</c:v>
                </c:pt>
                <c:pt idx="5">
                  <c:v>8191</c:v>
                </c:pt>
              </c:numCache>
            </c:numRef>
          </c:val>
          <c:extLst>
            <c:ext xmlns:c16="http://schemas.microsoft.com/office/drawing/2014/chart" uri="{C3380CC4-5D6E-409C-BE32-E72D297353CC}">
              <c16:uniqueId val="{00000001-688E-A14A-8B56-88EE1ADE820E}"/>
            </c:ext>
          </c:extLst>
        </c:ser>
        <c:dLbls>
          <c:showLegendKey val="0"/>
          <c:showVal val="0"/>
          <c:showCatName val="0"/>
          <c:showSerName val="0"/>
          <c:showPercent val="0"/>
          <c:showBubbleSize val="0"/>
        </c:dLbls>
        <c:gapWidth val="219"/>
        <c:overlap val="-27"/>
        <c:axId val="83294037"/>
        <c:axId val="25552519"/>
      </c:barChart>
      <c:catAx>
        <c:axId val="83294037"/>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sv-SE"/>
          </a:p>
        </c:txPr>
        <c:crossAx val="25552519"/>
        <c:crosses val="autoZero"/>
        <c:auto val="1"/>
        <c:lblAlgn val="ctr"/>
        <c:lblOffset val="100"/>
        <c:noMultiLvlLbl val="0"/>
      </c:catAx>
      <c:valAx>
        <c:axId val="25552519"/>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sv-SE"/>
          </a:p>
        </c:txPr>
        <c:crossAx val="83294037"/>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sv-SE"/>
        </a:p>
      </c:tx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sv-SE" sz="1400" b="0" strike="noStrike" spc="-1">
                <a:solidFill>
                  <a:srgbClr val="595959"/>
                </a:solidFill>
                <a:latin typeface="Calibri"/>
              </a:defRPr>
            </a:pPr>
            <a:r>
              <a:rPr lang="sv-SE" sz="1400" b="0" strike="noStrike" spc="-1">
                <a:solidFill>
                  <a:srgbClr val="595959"/>
                </a:solidFill>
                <a:latin typeface="Calibri"/>
              </a:rPr>
              <a:t>Regional change w wheat yields </a:t>
            </a:r>
          </a:p>
        </c:rich>
      </c:tx>
      <c:layout>
        <c:manualLayout>
          <c:xMode val="edge"/>
          <c:yMode val="edge"/>
          <c:x val="0.143091154365003"/>
          <c:y val="5.7416267942583697E-3"/>
        </c:manualLayout>
      </c:layout>
      <c:overlay val="0"/>
      <c:spPr>
        <a:noFill/>
        <a:ln w="0">
          <a:noFill/>
        </a:ln>
      </c:spPr>
    </c:title>
    <c:autoTitleDeleted val="0"/>
    <c:plotArea>
      <c:layout/>
      <c:barChart>
        <c:barDir val="col"/>
        <c:grouping val="clustered"/>
        <c:varyColors val="0"/>
        <c:ser>
          <c:idx val="0"/>
          <c:order val="0"/>
          <c:tx>
            <c:strRef>
              <c:f>label 0</c:f>
              <c:strCache>
                <c:ptCount val="1"/>
                <c:pt idx="0">
                  <c:v>2001 - 2007 average, kg/ha</c:v>
                </c:pt>
              </c:strCache>
            </c:strRef>
          </c:tx>
          <c:spPr>
            <a:solidFill>
              <a:srgbClr val="000000"/>
            </a:soli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sv-SE"/>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7"/>
                <c:pt idx="0">
                  <c:v>PR1</c:v>
                </c:pt>
                <c:pt idx="1">
                  <c:v>PR2</c:v>
                </c:pt>
                <c:pt idx="2">
                  <c:v>PR3</c:v>
                </c:pt>
                <c:pt idx="3">
                  <c:v>PR4</c:v>
                </c:pt>
                <c:pt idx="4">
                  <c:v>PR5</c:v>
                </c:pt>
                <c:pt idx="5">
                  <c:v>PR6</c:v>
                </c:pt>
                <c:pt idx="6">
                  <c:v>Sweden</c:v>
                </c:pt>
              </c:strCache>
            </c:strRef>
          </c:cat>
          <c:val>
            <c:numRef>
              <c:f>0</c:f>
              <c:numCache>
                <c:formatCode>General</c:formatCode>
                <c:ptCount val="7"/>
                <c:pt idx="0">
                  <c:v>7440</c:v>
                </c:pt>
                <c:pt idx="1">
                  <c:v>6030</c:v>
                </c:pt>
                <c:pt idx="2">
                  <c:v>6014</c:v>
                </c:pt>
                <c:pt idx="3">
                  <c:v>5434</c:v>
                </c:pt>
                <c:pt idx="4">
                  <c:v>5137</c:v>
                </c:pt>
                <c:pt idx="5">
                  <c:v>5199</c:v>
                </c:pt>
                <c:pt idx="6">
                  <c:v>6148</c:v>
                </c:pt>
              </c:numCache>
            </c:numRef>
          </c:val>
          <c:extLst>
            <c:ext xmlns:c16="http://schemas.microsoft.com/office/drawing/2014/chart" uri="{C3380CC4-5D6E-409C-BE32-E72D297353CC}">
              <c16:uniqueId val="{00000000-9FF1-E64B-91AF-525BE89C6EE9}"/>
            </c:ext>
          </c:extLst>
        </c:ser>
        <c:ser>
          <c:idx val="1"/>
          <c:order val="1"/>
          <c:tx>
            <c:strRef>
              <c:f>label 1</c:f>
              <c:strCache>
                <c:ptCount val="1"/>
                <c:pt idx="0">
                  <c:v>2011 - 2017 average, kg/ha</c:v>
                </c:pt>
              </c:strCache>
            </c:strRef>
          </c:tx>
          <c:spPr>
            <a:solidFill>
              <a:srgbClr val="D9D9D9"/>
            </a:soli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sv-SE"/>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7"/>
                <c:pt idx="0">
                  <c:v>PR1</c:v>
                </c:pt>
                <c:pt idx="1">
                  <c:v>PR2</c:v>
                </c:pt>
                <c:pt idx="2">
                  <c:v>PR3</c:v>
                </c:pt>
                <c:pt idx="3">
                  <c:v>PR4</c:v>
                </c:pt>
                <c:pt idx="4">
                  <c:v>PR5</c:v>
                </c:pt>
                <c:pt idx="5">
                  <c:v>PR6</c:v>
                </c:pt>
                <c:pt idx="6">
                  <c:v>Sweden</c:v>
                </c:pt>
              </c:strCache>
            </c:strRef>
          </c:cat>
          <c:val>
            <c:numRef>
              <c:f>1</c:f>
              <c:numCache>
                <c:formatCode>General</c:formatCode>
                <c:ptCount val="7"/>
                <c:pt idx="0">
                  <c:v>8040</c:v>
                </c:pt>
                <c:pt idx="1">
                  <c:v>7033</c:v>
                </c:pt>
                <c:pt idx="2">
                  <c:v>6717</c:v>
                </c:pt>
                <c:pt idx="3">
                  <c:v>5767</c:v>
                </c:pt>
                <c:pt idx="4">
                  <c:v>5861</c:v>
                </c:pt>
                <c:pt idx="5">
                  <c:v>5410</c:v>
                </c:pt>
                <c:pt idx="6">
                  <c:v>6855</c:v>
                </c:pt>
              </c:numCache>
            </c:numRef>
          </c:val>
          <c:extLst>
            <c:ext xmlns:c16="http://schemas.microsoft.com/office/drawing/2014/chart" uri="{C3380CC4-5D6E-409C-BE32-E72D297353CC}">
              <c16:uniqueId val="{00000001-9FF1-E64B-91AF-525BE89C6EE9}"/>
            </c:ext>
          </c:extLst>
        </c:ser>
        <c:dLbls>
          <c:showLegendKey val="0"/>
          <c:showVal val="0"/>
          <c:showCatName val="0"/>
          <c:showSerName val="0"/>
          <c:showPercent val="0"/>
          <c:showBubbleSize val="0"/>
        </c:dLbls>
        <c:gapWidth val="219"/>
        <c:overlap val="-27"/>
        <c:axId val="35258431"/>
        <c:axId val="10027550"/>
      </c:barChart>
      <c:catAx>
        <c:axId val="35258431"/>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sv-SE"/>
          </a:p>
        </c:txPr>
        <c:crossAx val="10027550"/>
        <c:crosses val="autoZero"/>
        <c:auto val="1"/>
        <c:lblAlgn val="ctr"/>
        <c:lblOffset val="100"/>
        <c:noMultiLvlLbl val="0"/>
      </c:catAx>
      <c:valAx>
        <c:axId val="10027550"/>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sv-SE"/>
          </a:p>
        </c:txPr>
        <c:crossAx val="35258431"/>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sv-SE"/>
        </a:p>
      </c:tx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1950</Words>
  <Characters>10338</Characters>
  <Application>Microsoft Office Word</Application>
  <DocSecurity>0</DocSecurity>
  <Lines>86</Lines>
  <Paragraphs>24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Rehn</dc:creator>
  <cp:keywords/>
  <dc:description/>
  <cp:lastModifiedBy>Andreas Rehn</cp:lastModifiedBy>
  <cp:revision>12</cp:revision>
  <dcterms:created xsi:type="dcterms:W3CDTF">2023-12-01T12:47:00Z</dcterms:created>
  <dcterms:modified xsi:type="dcterms:W3CDTF">2023-12-01T12:52:00Z</dcterms:modified>
</cp:coreProperties>
</file>