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0" w:before="0"/>
        <w:jc w:val="center"/>
      </w:pPr>
      <w:r>
        <w:rPr>
          <w:b/>
          <w:bCs/>
          <w:color w:val="1B3A6B"/>
          <w:sz w:val="96"/>
          <w:szCs w:val="96"/>
        </w:rPr>
        <w:t xml:space="preserve">OxData</w:t>
      </w:r>
    </w:p>
    <w:p>
      <w:pPr>
        <w:spacing w:after="0" w:before="60"/>
        <w:jc w:val="center"/>
      </w:pPr>
      <w:r>
        <w:rPr>
          <w:color w:val="1D6A72"/>
          <w:sz w:val="32"/>
          <w:szCs w:val="32"/>
        </w:rPr>
        <w:t xml:space="preserve">AI-Powered Consumer Intelligence Platform</w:t>
      </w:r>
    </w:p>
    <w:p>
      <w:pPr>
        <w:spacing w:after="0" w:before="40"/>
        <w:jc w:val="center"/>
      </w:pPr>
      <w:r>
        <w:rPr>
          <w:color w:val="4A5568"/>
          <w:sz w:val="26"/>
          <w:szCs w:val="26"/>
        </w:rPr>
        <w:t xml:space="preserve">Project Progress Report</w:t>
      </w:r>
    </w:p>
    <w:p>
      <w:pPr>
        <w:pBdr>
          <w:bottom w:val="single" w:color="1D6A72" w:sz="8" w:space="1"/>
        </w:pBdr>
        <w:spacing w:after="200" w:before="200"/>
      </w:pPr>
      <w:r>
        <w:rPr>
          <w:sz w:val="22"/>
          <w:szCs w:val="22"/>
        </w:rPr>
        <w:t xml:space="preserve"/>
      </w:r>
    </w:p>
    <w:p>
      <w:pPr>
        <w:spacing w:after="40" w:before="80"/>
        <w:jc w:val="center"/>
      </w:pPr>
      <w:r>
        <w:rPr>
          <w:color w:val="4A5568"/>
          <w:sz w:val="22"/>
          <w:szCs w:val="22"/>
        </w:rPr>
        <w:t xml:space="preserve">Wave 1 — Electrical Appliances Survey  |  6,631 Respondents</w:t>
      </w:r>
    </w:p>
    <w:p>
      <w:pPr>
        <w:spacing w:after="0" w:before="0"/>
        <w:jc w:val="center"/>
      </w:pPr>
      <w:r>
        <w:rPr>
          <w:color w:val="4A5568"/>
          <w:sz w:val="22"/>
          <w:szCs w:val="22"/>
        </w:rPr>
        <w:t xml:space="preserve">April 2026</w:t>
      </w:r>
    </w:p>
    <w:p>
      <w:pPr>
        <w:spacing w:after="0" w:before="600"/>
      </w:pPr>
    </w:p>
    <w:p>
      <w:pPr>
        <w:spacing w:after="0" w:before="0"/>
        <w:jc w:val="center"/>
      </w:pPr>
      <w:r>
        <w:rPr>
          <w:b/>
          <w:bCs/>
          <w:color w:val="1B3A6B"/>
          <w:sz w:val="22"/>
          <w:szCs w:val="22"/>
        </w:rPr>
        <w:t xml:space="preserve">STATUS: </w:t>
      </w:r>
      <w:r>
        <w:rPr>
          <w:color w:val="1A7F4B"/>
          <w:sz w:val="22"/>
          <w:szCs w:val="22"/>
        </w:rPr>
        <w:t xml:space="preserve">Build complete — Testing validated — Integration pending</w:t>
      </w:r>
    </w:p>
    <w:p>
      <w:pPr>
        <w:spacing w:after="0" w:before="0"/>
      </w:pPr>
      <w:r>
        <w:br w:type="page"/>
      </w:r>
    </w:p>
    <w:p>
      <w:pPr>
        <w:pStyle w:val="Heading1"/>
        <w:pBdr>
          <w:bottom w:val="single" w:color="1B3A6B" w:sz="6" w:space="4"/>
        </w:pBdr>
        <w:spacing w:after="160" w:before="320"/>
      </w:pPr>
      <w:r>
        <w:t xml:space="preserve">1.  Executive Summary</w:t>
      </w:r>
    </w:p>
    <w:p>
      <w:pPr>
        <w:spacing w:after="100" w:before="80"/>
        <w:jc w:val="left"/>
      </w:pPr>
      <w:r>
        <w:rPr>
          <w:color w:val="2D3748"/>
          <w:sz w:val="22"/>
          <w:szCs w:val="22"/>
        </w:rPr>
        <w:t xml:space="preserve">OxData is a chat-based analytics tool built specifically to answer questions about consumer survey data. Instead of pulling up a spreadsheet and filtering manually, a researcher types a plain English question — and the system returns the answer in seconds, along with the SQL it used so anyone can verify it.</w:t>
      </w:r>
    </w:p>
    <w:p>
      <w:pPr>
        <w:spacing w:after="0" w:before="80"/>
      </w:pPr>
    </w:p>
    <w:p>
      <w:pPr>
        <w:spacing w:after="100" w:before="80"/>
        <w:jc w:val="left"/>
      </w:pPr>
      <w:r>
        <w:rPr>
          <w:color w:val="2D3748"/>
          <w:sz w:val="22"/>
          <w:szCs w:val="22"/>
        </w:rPr>
        <w:t xml:space="preserve">This report covers everything built so far, how it was tested, what broke and how it was fixed, and what is coming next week. The intended audience is a business or research manager with no requirement to understand the code — just the outcomes.</w:t>
      </w:r>
    </w:p>
    <w:p>
      <w:pPr>
        <w:spacing w:after="0" w:before="120"/>
      </w:pPr>
    </w:p>
    <w:p>
      <w:pPr>
        <w:pStyle w:val="Heading2"/>
        <w:spacing w:after="120" w:before="24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6,631</w:t>
            </w:r>
          </w:p>
          <w:p>
            <w:pPr>
              <w:spacing w:after="30" w:before="0"/>
              <w:jc w:val="center"/>
            </w:pPr>
            <w:r>
              <w:rPr>
                <w:color w:val="4A5568"/>
                <w:sz w:val="18"/>
                <w:szCs w:val="18"/>
              </w:rPr>
              <w:t xml:space="preserve">Survey Respondents Loaded</w:t>
            </w:r>
          </w:p>
          <w:p>
            <w:pPr>
              <w:spacing w:after="60" w:before="0"/>
              <w:jc w:val="center"/>
            </w:pPr>
            <w:r>
              <w:rPr>
                <w:b/>
                <w:bCs/>
                <w:color w:val="1D6A72"/>
                <w:sz w:val="16"/>
                <w:szCs w:val="16"/>
              </w:rPr>
              <w:t xml:space="preserve">Wave 1 data, April–June 2021</w:t>
            </w:r>
          </w:p>
        </w:tc>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100%</w:t>
            </w:r>
          </w:p>
          <w:p>
            <w:pPr>
              <w:spacing w:after="30" w:before="0"/>
              <w:jc w:val="center"/>
            </w:pPr>
            <w:r>
              <w:rPr>
                <w:color w:val="4A5568"/>
                <w:sz w:val="18"/>
                <w:szCs w:val="18"/>
              </w:rPr>
              <w:t xml:space="preserve">SQL Answer Success Rate</w:t>
            </w:r>
          </w:p>
          <w:p>
            <w:pPr>
              <w:spacing w:after="60" w:before="0"/>
              <w:jc w:val="center"/>
            </w:pPr>
            <w:r>
              <w:rPr>
                <w:b/>
                <w:bCs/>
                <w:color w:val="1D6A72"/>
                <w:sz w:val="16"/>
                <w:szCs w:val="16"/>
              </w:rPr>
              <w:t xml:space="preserve">170+ test questions</w:t>
            </w:r>
          </w:p>
        </w:tc>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91%</w:t>
            </w:r>
          </w:p>
          <w:p>
            <w:pPr>
              <w:spacing w:after="30" w:before="0"/>
              <w:jc w:val="center"/>
            </w:pPr>
            <w:r>
              <w:rPr>
                <w:color w:val="4A5568"/>
                <w:sz w:val="18"/>
                <w:szCs w:val="18"/>
              </w:rPr>
              <w:t xml:space="preserve">Query Routing Accuracy</w:t>
            </w:r>
          </w:p>
          <w:p>
            <w:pPr>
              <w:spacing w:after="60" w:before="0"/>
              <w:jc w:val="center"/>
            </w:pPr>
            <w:r>
              <w:rPr>
                <w:b/>
                <w:bCs/>
                <w:color w:val="1D6A72"/>
                <w:sz w:val="16"/>
                <w:szCs w:val="16"/>
              </w:rPr>
              <w:t xml:space="preserve">Correct skill selected</w:t>
            </w:r>
          </w:p>
        </w:tc>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80%</w:t>
            </w:r>
          </w:p>
          <w:p>
            <w:pPr>
              <w:spacing w:after="30" w:before="0"/>
              <w:jc w:val="center"/>
            </w:pPr>
            <w:r>
              <w:rPr>
                <w:color w:val="4A5568"/>
                <w:sz w:val="18"/>
                <w:szCs w:val="18"/>
              </w:rPr>
              <w:t xml:space="preserve">Token Cost Reduction</w:t>
            </w:r>
          </w:p>
          <w:p>
            <w:pPr>
              <w:spacing w:after="60" w:before="0"/>
              <w:jc w:val="center"/>
            </w:pPr>
            <w:r>
              <w:rPr>
                <w:b/>
                <w:bCs/>
                <w:color w:val="1D6A72"/>
                <w:sz w:val="16"/>
                <w:szCs w:val="16"/>
              </w:rPr>
              <w:t xml:space="preserve">6,500 → ~700 tokens/query</w:t>
            </w:r>
          </w:p>
        </w:tc>
      </w:tr>
    </w:tbl>
    <w:p>
      <w:pPr>
        <w:spacing w:after="0" w:before="160"/>
      </w:pPr>
    </w:p>
    <w:p>
      <w:pPr>
        <w:pStyle w:val="Heading2"/>
        <w:spacing w:after="120" w:before="240"/>
      </w:pPr>
      <w:r>
        <w:t xml:space="preserve">The Core Idea</w:t>
      </w:r>
    </w:p>
    <w:p>
      <w:pPr>
        <w:spacing w:after="100" w:before="80"/>
        <w:jc w:val="left"/>
      </w:pPr>
      <w:r>
        <w:rPr>
          <w:color w:val="2D3748"/>
          <w:sz w:val="22"/>
          <w:szCs w:val="22"/>
        </w:rPr>
        <w:t xml:space="preserve">Survey data is often locked in spreadsheets or statistical tools that require a trained analyst to operate. OxData removes that dependency. A researcher asks "What is Crompton's NPS score?" and within seconds sees the answer (64.0), the breakdown by promoters and detractors, and the exact database query that produced the number — all from a simple chat box.</w:t>
      </w:r>
    </w:p>
    <w:p>
      <w:pPr>
        <w:spacing w:after="0" w:before="80"/>
      </w:pPr>
    </w:p>
    <w:p>
      <w:pPr>
        <w:spacing w:after="100" w:before="80"/>
        <w:jc w:val="left"/>
      </w:pPr>
      <w:r>
        <w:rPr>
          <w:color w:val="2D3748"/>
          <w:sz w:val="22"/>
          <w:szCs w:val="22"/>
        </w:rPr>
        <w:t xml:space="preserve">The system was built and tested entirely in April 2026, starting from scratch. As of now, it is working reliably and has passed over 170 test questions with a 100% SQL generation success rate. One minor routing issue remains and is scheduled for fix next week.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4F8" w:val="clear"/>
            <w:tcMar>
              <w:top w:type="dxa" w:w="120"/>
              <w:left w:type="dxa" w:w="200"/>
              <w:bottom w:type="dxa" w:w="120"/>
              <w:right w:type="dxa" w:w="200"/>
            </w:tcMar>
          </w:tcPr>
          <w:p>
            <w:pPr>
              <w:spacing w:after="40" w:before="40"/>
            </w:pPr>
            <w:r>
              <w:rPr>
                <w:b/>
                <w:bCs/>
                <w:color w:val="1B3A6B"/>
                <w:sz w:val="20"/>
                <w:szCs w:val="20"/>
              </w:rPr>
              <w:t xml:space="preserve">Key result:  </w:t>
            </w:r>
            <w:r>
              <w:rPr>
                <w:color w:val="2D3748"/>
                <w:sz w:val="20"/>
                <w:szCs w:val="20"/>
              </w:rPr>
              <w:t xml:space="preserve">Bajaj leads top-of-mind awareness at 26.3% (1,746 respondents). Crompton is second at 17.1%. Crompton's NPS score is 64.0. Mixer Grinder / Mixie leads kitchen appliance ownership at 93.3%. Ceiling fans top room appliances at 98.4%.</w:t>
            </w:r>
          </w:p>
        </w:tc>
      </w:tr>
    </w:tbl>
    <w:p>
      <w:pPr>
        <w:spacing w:after="0" w:before="200"/>
      </w:pPr>
    </w:p>
    <w:p>
      <w:pPr>
        <w:spacing w:after="0" w:before="0"/>
      </w:pPr>
      <w:r>
        <w:br w:type="page"/>
      </w:r>
    </w:p>
    <w:p>
      <w:pPr>
        <w:pStyle w:val="Heading1"/>
        <w:pBdr>
          <w:bottom w:val="single" w:color="1B3A6B" w:sz="6" w:space="4"/>
        </w:pBdr>
        <w:spacing w:after="160" w:before="320"/>
      </w:pPr>
      <w:r>
        <w:t xml:space="preserve">2.  What Is OxData?</w:t>
      </w:r>
    </w:p>
    <w:p>
      <w:pPr>
        <w:spacing w:after="100" w:before="80"/>
        <w:jc w:val="left"/>
      </w:pPr>
      <w:r>
        <w:rPr>
          <w:color w:val="2D3748"/>
          <w:sz w:val="22"/>
          <w:szCs w:val="22"/>
        </w:rPr>
        <w:t xml:space="preserve">The simplest way to describe OxData: it is a research assistant that speaks SQL. A user types a question in plain English. The system figures out what part of the database that question is about, writes the correct database query, runs it, and gives back an answer — in a sentence, not a table of numbers.</w:t>
      </w:r>
    </w:p>
    <w:p>
      <w:pPr>
        <w:spacing w:after="0" w:before="80"/>
      </w:pPr>
    </w:p>
    <w:p>
      <w:pPr>
        <w:spacing w:after="100" w:before="80"/>
        <w:jc w:val="left"/>
      </w:pPr>
      <w:r>
        <w:rPr>
          <w:color w:val="2D3748"/>
          <w:sz w:val="22"/>
          <w:szCs w:val="22"/>
        </w:rPr>
        <w:t xml:space="preserve">For the Wave 1 Electrical Appliances Survey, that means a client or analyst can ask things like:</w:t>
      </w:r>
    </w:p>
    <w:p>
      <w:pPr>
        <w:spacing w:after="0" w:before="40"/>
      </w:pPr>
    </w:p>
    <w:p>
      <w:pPr>
        <w:pStyle w:val="ListParagraph"/>
        <w:numPr>
          <w:ilvl w:val="0"/>
          <w:numId w:val="2"/>
        </w:numPr>
        <w:spacing w:after="40" w:before="40"/>
      </w:pPr>
      <w:r>
        <w:rPr>
          <w:color w:val="2D3748"/>
          <w:sz w:val="22"/>
          <w:szCs w:val="22"/>
        </w:rPr>
        <w:t xml:space="preserve">"What percentage of respondents in South India own an air conditioner?"</w:t>
      </w:r>
    </w:p>
    <w:p>
      <w:pPr>
        <w:pStyle w:val="ListParagraph"/>
        <w:numPr>
          <w:ilvl w:val="0"/>
          <w:numId w:val="2"/>
        </w:numPr>
        <w:spacing w:after="40" w:before="40"/>
      </w:pPr>
      <w:r>
        <w:rPr>
          <w:color w:val="2D3748"/>
          <w:sz w:val="22"/>
          <w:szCs w:val="22"/>
        </w:rPr>
        <w:t xml:space="preserve">"Which brand has the highest spontaneous recall in Delhi?"</w:t>
      </w:r>
    </w:p>
    <w:p>
      <w:pPr>
        <w:pStyle w:val="ListParagraph"/>
        <w:numPr>
          <w:ilvl w:val="0"/>
          <w:numId w:val="2"/>
        </w:numPr>
        <w:spacing w:after="40" w:before="40"/>
      </w:pPr>
      <w:r>
        <w:rPr>
          <w:color w:val="2D3748"/>
          <w:sz w:val="22"/>
          <w:szCs w:val="22"/>
        </w:rPr>
        <w:t xml:space="preserve">"Compare Crompton and Bajaj on NPS score."</w:t>
      </w:r>
    </w:p>
    <w:p>
      <w:pPr>
        <w:pStyle w:val="ListParagraph"/>
        <w:numPr>
          <w:ilvl w:val="0"/>
          <w:numId w:val="2"/>
        </w:numPr>
        <w:spacing w:after="40" w:before="40"/>
      </w:pPr>
      <w:r>
        <w:rPr>
          <w:color w:val="2D3748"/>
          <w:sz w:val="22"/>
          <w:szCs w:val="22"/>
        </w:rPr>
        <w:t xml:space="preserve">"How many female respondents aged 25–35 are from the West zone?"</w:t>
      </w:r>
    </w:p>
    <w:p>
      <w:pPr>
        <w:spacing w:after="0" w:before="80"/>
      </w:pPr>
    </w:p>
    <w:p>
      <w:pPr>
        <w:spacing w:after="100" w:before="80"/>
        <w:jc w:val="left"/>
      </w:pPr>
      <w:r>
        <w:rPr>
          <w:color w:val="2D3748"/>
          <w:sz w:val="22"/>
          <w:szCs w:val="22"/>
        </w:rPr>
        <w:t xml:space="preserve">The system returns the answer, the data table, and the SQL — which means any result can be verified independently. This is by design: OxData is a verification-first tool. The SQL is always shown so results are traceable.</w:t>
      </w:r>
    </w:p>
    <w:p>
      <w:pPr>
        <w:spacing w:after="0" w:before="120"/>
      </w:pPr>
    </w:p>
    <w:p>
      <w:pPr>
        <w:pStyle w:val="Heading2"/>
        <w:spacing w:after="120" w:before="240"/>
      </w:pPr>
      <w:r>
        <w:t xml:space="preserve">The Problem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CCCCCC" w:sz="1"/>
              <w:left w:val="single" w:color="CCCCCC" w:sz="1"/>
              <w:bottom w:val="single" w:color="CCCCCC" w:sz="1"/>
              <w:right w:val="single" w:color="CCCCCC" w:sz="1"/>
            </w:tcBorders>
            <w:shd w:fill="FEECEC" w:val="clear"/>
            <w:tcMar>
              <w:top w:type="dxa" w:w="80"/>
              <w:left w:type="dxa" w:w="130"/>
              <w:bottom w:type="dxa" w:w="80"/>
              <w:right w:type="dxa" w:w="130"/>
            </w:tcMar>
          </w:tcPr>
          <w:p>
            <w:pPr>
              <w:spacing w:after="60" w:before="60"/>
              <w:jc w:val="center"/>
            </w:pPr>
            <w:r>
              <w:rPr>
                <w:b/>
                <w:bCs/>
                <w:color w:val="C0392B"/>
                <w:sz w:val="22"/>
                <w:szCs w:val="22"/>
              </w:rPr>
              <w:t xml:space="preserve">Without OxData</w:t>
            </w:r>
          </w:p>
        </w:tc>
        <w:tc>
          <w:tcPr>
            <w:tcBorders>
              <w:top w:val="single" w:color="CCCCCC" w:sz="1"/>
              <w:left w:val="single" w:color="CCCCCC" w:sz="1"/>
              <w:bottom w:val="single" w:color="CCCCCC" w:sz="1"/>
              <w:right w:val="single" w:color="CCCCCC" w:sz="1"/>
            </w:tcBorders>
            <w:shd w:fill="EBF7F2" w:val="clear"/>
            <w:tcMar>
              <w:top w:type="dxa" w:w="80"/>
              <w:left w:type="dxa" w:w="130"/>
              <w:bottom w:type="dxa" w:w="80"/>
              <w:right w:type="dxa" w:w="130"/>
            </w:tcMar>
          </w:tcPr>
          <w:p>
            <w:pPr>
              <w:spacing w:after="60" w:before="60"/>
              <w:jc w:val="center"/>
            </w:pPr>
            <w:r>
              <w:rPr>
                <w:b/>
                <w:bCs/>
                <w:color w:val="1A7F4B"/>
                <w:sz w:val="22"/>
                <w:szCs w:val="22"/>
              </w:rPr>
              <w:t xml:space="preserve">With OxData</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Analyst opens SPSS or Excel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Researcher types a question in chat</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Filters columns manually</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System selects the right data area automatically</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Writes and validates formulas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SQL is generated and run in under 2 seconds</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Formats result into a table</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Answer appears in plain English + data table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Emails output to stakeholder</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Stakeholder can ask follow-up questions directly</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30–90 minutes per question</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Under 10 seconds per question</w:t>
            </w:r>
          </w:p>
        </w:tc>
      </w:tr>
    </w:tbl>
    <w:p>
      <w:pPr>
        <w:spacing w:after="0" w:before="200"/>
      </w:pPr>
    </w:p>
    <w:p>
      <w:pPr>
        <w:pStyle w:val="Heading2"/>
        <w:spacing w:after="120" w:before="240"/>
      </w:pPr>
      <w:r>
        <w:t xml:space="preserve">What Data Is in the System?</w:t>
      </w:r>
    </w:p>
    <w:p>
      <w:pPr>
        <w:spacing w:after="100" w:before="80"/>
        <w:jc w:val="left"/>
      </w:pPr>
      <w:r>
        <w:rPr>
          <w:color w:val="2D3748"/>
          <w:sz w:val="22"/>
          <w:szCs w:val="22"/>
        </w:rPr>
        <w:t xml:space="preserve">The system is loaded with Wave 1 data from the OX Electrical Appliances Survey covering 6,631 respondents across 18 cities and 4 zones in India, interviewed between April and June 2021. The data covers six areas: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Data Area</w:t>
            </w:r>
          </w:p>
        </w:tc>
        <w:tc>
          <w:tcPr>
            <w:tcW w:type="dxa" w:w="35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What It Contains</w:t>
            </w:r>
          </w:p>
        </w:tc>
        <w:tc>
          <w:tcPr>
            <w:tcW w:type="dxa" w:w="30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Records</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Brand Awareness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Top-of-mind, spontaneous and aided recall across brands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39,842</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Brand NPS Scores</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Net Promoter Scores (0–10) per brand per respondent</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10,200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Kitchen Appliances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Ownership of 14 kitchen appliance types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13,955</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Recent Purchases</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Most recently purchased kitchen appliances (ranked)</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8,110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Room Appliances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Fans, ACs, geysers, and other household appliances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30,534</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Respondent Profiles</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Demographics, geography, interview date</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6,631</w:t>
            </w:r>
          </w:p>
        </w:tc>
      </w:tr>
    </w:tbl>
    <w:p>
      <w:pPr>
        <w:spacing w:after="0" w:before="200"/>
      </w:pPr>
    </w:p>
    <w:p>
      <w:pPr>
        <w:spacing w:after="0" w:before="0"/>
      </w:pPr>
      <w:r>
        <w:br w:type="page"/>
      </w:r>
    </w:p>
    <w:p>
      <w:pPr>
        <w:pStyle w:val="Heading1"/>
        <w:pBdr>
          <w:bottom w:val="single" w:color="1B3A6B" w:sz="6" w:space="4"/>
        </w:pBdr>
        <w:spacing w:after="160" w:before="320"/>
      </w:pPr>
      <w:r>
        <w:t xml:space="preserve">3.  How It Works</w:t>
      </w:r>
    </w:p>
    <w:p>
      <w:pPr>
        <w:spacing w:after="100" w:before="80"/>
        <w:jc w:val="left"/>
      </w:pPr>
      <w:r>
        <w:rPr>
          <w:color w:val="2D3748"/>
          <w:sz w:val="22"/>
          <w:szCs w:val="22"/>
        </w:rPr>
        <w:t xml:space="preserve">Here is the full flow from when a user types a question to when they get an answer. The entire process takes under 3 seconds for most queries.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1</w:t>
            </w:r>
          </w:p>
        </w:tc>
        <w:tc>
          <w:tcPr>
            <w:tcBorders>
              <w:top w:val="single" w:color="CCCCCC" w:sz="1"/>
              <w:left w:val="single" w:color="CCCCCC" w:sz="1"/>
              <w:bottom w:val="single" w:color="CCCCCC" w:sz="1"/>
              <w:right w:val="single" w:color="CCCCCC" w:sz="1"/>
            </w:tcBorders>
            <w:shd w:fill="EBF4F8" w:val="clear"/>
            <w:tcMar>
              <w:top w:type="dxa" w:w="80"/>
              <w:left w:type="dxa" w:w="160"/>
              <w:bottom w:type="dxa" w:w="80"/>
              <w:right w:type="dxa" w:w="160"/>
            </w:tcMar>
          </w:tcPr>
          <w:p>
            <w:pPr>
              <w:spacing w:after="20" w:before="40"/>
            </w:pPr>
            <w:r>
              <w:rPr>
                <w:b/>
                <w:bCs/>
                <w:color w:val="1B3A6B"/>
                <w:sz w:val="20"/>
                <w:szCs w:val="20"/>
              </w:rPr>
              <w:t xml:space="preserve">QUESTION ARRIVES</w:t>
            </w:r>
          </w:p>
          <w:p>
            <w:pPr>
              <w:spacing w:after="40" w:before="0"/>
            </w:pPr>
            <w:r>
              <w:rPr>
                <w:color w:val="2D3748"/>
                <w:sz w:val="20"/>
                <w:szCs w:val="20"/>
              </w:rPr>
              <w:t xml:space="preserve">A researcher types a plain English question in the chat interface — e.g., "What is Crompton's top-of-mind awareness in the South zone?"</w:t>
            </w:r>
          </w:p>
        </w:tc>
      </w:tr>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b/>
                <w:bCs/>
                <w:color w:val="1B3A6B"/>
                <w:sz w:val="20"/>
                <w:szCs w:val="20"/>
              </w:rPr>
              <w:t xml:space="preserve">SKILL ROUTING</w:t>
            </w:r>
          </w:p>
          <w:p>
            <w:pPr>
              <w:spacing w:after="40" w:before="0"/>
            </w:pPr>
            <w:r>
              <w:rPr>
                <w:color w:val="2D3748"/>
                <w:sz w:val="20"/>
                <w:szCs w:val="20"/>
              </w:rPr>
              <w:t xml:space="preserve">The system reads the question and matches it to one of 6 specialised knowledge areas (Skills). This step uses keyword matching — no AI call is made. For brand questions, it picks the Awareness skill. For NPS questions, the NPS skill. This keeps things fast and predictable.</w:t>
            </w:r>
          </w:p>
        </w:tc>
      </w:tr>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3</w:t>
            </w:r>
          </w:p>
        </w:tc>
        <w:tc>
          <w:tcPr>
            <w:tcBorders>
              <w:top w:val="single" w:color="CCCCCC" w:sz="1"/>
              <w:left w:val="single" w:color="CCCCCC" w:sz="1"/>
              <w:bottom w:val="single" w:color="CCCCCC" w:sz="1"/>
              <w:right w:val="single" w:color="CCCCCC" w:sz="1"/>
            </w:tcBorders>
            <w:shd w:fill="EBF4F8" w:val="clear"/>
            <w:tcMar>
              <w:top w:type="dxa" w:w="80"/>
              <w:left w:type="dxa" w:w="160"/>
              <w:bottom w:type="dxa" w:w="80"/>
              <w:right w:type="dxa" w:w="160"/>
            </w:tcMar>
          </w:tcPr>
          <w:p>
            <w:pPr>
              <w:spacing w:after="20" w:before="40"/>
            </w:pPr>
            <w:r>
              <w:rPr>
                <w:b/>
                <w:bCs/>
                <w:color w:val="1B3A6B"/>
                <w:sz w:val="20"/>
                <w:szCs w:val="20"/>
              </w:rPr>
              <w:t xml:space="preserve">CONTEXT ASSEMBLY</w:t>
            </w:r>
          </w:p>
          <w:p>
            <w:pPr>
              <w:spacing w:after="40" w:before="0"/>
            </w:pPr>
            <w:r>
              <w:rPr>
                <w:color w:val="2D3748"/>
                <w:sz w:val="20"/>
                <w:szCs w:val="20"/>
              </w:rPr>
              <w:t xml:space="preserve">The system loads the relevant schema context for that skill — roughly 400–900 tokens of structured information about the specific database views and rules the LLM needs. The last 4 turns of the conversation are also attached so follow-up questions work correctly.</w:t>
            </w:r>
          </w:p>
        </w:tc>
      </w:tr>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b/>
                <w:bCs/>
                <w:color w:val="1B3A6B"/>
                <w:sz w:val="20"/>
                <w:szCs w:val="20"/>
              </w:rPr>
              <w:t xml:space="preserve">SQL GENERATION</w:t>
            </w:r>
          </w:p>
          <w:p>
            <w:pPr>
              <w:spacing w:after="40" w:before="0"/>
            </w:pPr>
            <w:r>
              <w:rPr>
                <w:color w:val="2D3748"/>
                <w:sz w:val="20"/>
                <w:szCs w:val="20"/>
              </w:rPr>
              <w:t xml:space="preserve">Groq's Llama model (with Gemini as fallback) reads the context and question, then writes a SQL query. The model is instructed to return only the raw SQL — no explanation, no markdown, no guessing.</w:t>
            </w:r>
          </w:p>
        </w:tc>
      </w:tr>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5</w:t>
            </w:r>
          </w:p>
        </w:tc>
        <w:tc>
          <w:tcPr>
            <w:tcBorders>
              <w:top w:val="single" w:color="CCCCCC" w:sz="1"/>
              <w:left w:val="single" w:color="CCCCCC" w:sz="1"/>
              <w:bottom w:val="single" w:color="CCCCCC" w:sz="1"/>
              <w:right w:val="single" w:color="CCCCCC" w:sz="1"/>
            </w:tcBorders>
            <w:shd w:fill="EBF4F8" w:val="clear"/>
            <w:tcMar>
              <w:top w:type="dxa" w:w="80"/>
              <w:left w:type="dxa" w:w="160"/>
              <w:bottom w:type="dxa" w:w="80"/>
              <w:right w:type="dxa" w:w="160"/>
            </w:tcMar>
          </w:tcPr>
          <w:p>
            <w:pPr>
              <w:spacing w:after="20" w:before="40"/>
            </w:pPr>
            <w:r>
              <w:rPr>
                <w:b/>
                <w:bCs/>
                <w:color w:val="1B3A6B"/>
                <w:sz w:val="20"/>
                <w:szCs w:val="20"/>
              </w:rPr>
              <w:t xml:space="preserve">QUERY EXECUTION</w:t>
            </w:r>
          </w:p>
          <w:p>
            <w:pPr>
              <w:spacing w:after="40" w:before="0"/>
            </w:pPr>
            <w:r>
              <w:rPr>
                <w:color w:val="2D3748"/>
                <w:sz w:val="20"/>
                <w:szCs w:val="20"/>
              </w:rPr>
              <w:t xml:space="preserve">The SQL runs against the local SQLite database. Results come back as a data table. If the SQL fails, the system retries automatically using a broader context.</w:t>
            </w:r>
          </w:p>
        </w:tc>
      </w:tr>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20" w:before="40"/>
            </w:pPr>
            <w:r>
              <w:rPr>
                <w:b/>
                <w:bCs/>
                <w:color w:val="1B3A6B"/>
                <w:sz w:val="20"/>
                <w:szCs w:val="20"/>
              </w:rPr>
              <w:t xml:space="preserve">PLAIN ENGLISH ANSWER</w:t>
            </w:r>
          </w:p>
          <w:p>
            <w:pPr>
              <w:spacing w:after="40" w:before="0"/>
            </w:pPr>
            <w:r>
              <w:rPr>
                <w:color w:val="2D3748"/>
                <w:sz w:val="20"/>
                <w:szCs w:val="20"/>
              </w:rPr>
              <w:t xml:space="preserve">A second, lighter AI call reads the question and the first 5 rows of results, then writes a 2–3 sentence plain English summary. This is what the user sees first.</w:t>
            </w:r>
          </w:p>
        </w:tc>
      </w:tr>
      <w:tr>
        <w:tc>
          <w:tcPr>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vAlign w:val="center"/>
          </w:tcPr>
          <w:p>
            <w:pPr>
              <w:spacing w:after="0" w:before="0"/>
              <w:jc w:val="center"/>
            </w:pPr>
            <w:r>
              <w:rPr>
                <w:b/>
                <w:bCs/>
                <w:color w:val="FFFFFF"/>
                <w:sz w:val="28"/>
                <w:szCs w:val="28"/>
              </w:rPr>
              <w:t xml:space="preserve">7</w:t>
            </w:r>
          </w:p>
        </w:tc>
        <w:tc>
          <w:tcPr>
            <w:tcBorders>
              <w:top w:val="single" w:color="CCCCCC" w:sz="1"/>
              <w:left w:val="single" w:color="CCCCCC" w:sz="1"/>
              <w:bottom w:val="single" w:color="CCCCCC" w:sz="1"/>
              <w:right w:val="single" w:color="CCCCCC" w:sz="1"/>
            </w:tcBorders>
            <w:shd w:fill="EBF4F8" w:val="clear"/>
            <w:tcMar>
              <w:top w:type="dxa" w:w="80"/>
              <w:left w:type="dxa" w:w="160"/>
              <w:bottom w:type="dxa" w:w="80"/>
              <w:right w:type="dxa" w:w="160"/>
            </w:tcMar>
          </w:tcPr>
          <w:p>
            <w:pPr>
              <w:spacing w:after="20" w:before="40"/>
            </w:pPr>
            <w:r>
              <w:rPr>
                <w:b/>
                <w:bCs/>
                <w:color w:val="1B3A6B"/>
                <w:sz w:val="20"/>
                <w:szCs w:val="20"/>
              </w:rPr>
              <w:t xml:space="preserve">DISPLAY</w:t>
            </w:r>
          </w:p>
          <w:p>
            <w:pPr>
              <w:spacing w:after="40" w:before="0"/>
            </w:pPr>
            <w:r>
              <w:rPr>
                <w:color w:val="2D3748"/>
                <w:sz w:val="20"/>
                <w:szCs w:val="20"/>
              </w:rPr>
              <w:t xml:space="preserve">The interface shows: the plain English answer, the data table (with smart chart if appropriate), and the raw SQL — always visible so anyone can verify the numbers.</w:t>
            </w:r>
          </w:p>
        </w:tc>
      </w:tr>
    </w:tbl>
    <w:p>
      <w:pPr>
        <w:spacing w:after="0" w:before="160"/>
      </w:pPr>
    </w:p>
    <w:p>
      <w:pPr>
        <w:pStyle w:val="Heading2"/>
        <w:spacing w:after="120" w:before="240"/>
      </w:pPr>
      <w:r>
        <w:t xml:space="preserve">The Skill System</w:t>
      </w:r>
    </w:p>
    <w:p>
      <w:pPr>
        <w:spacing w:after="100" w:before="80"/>
        <w:jc w:val="left"/>
      </w:pPr>
      <w:r>
        <w:rPr>
          <w:color w:val="2D3748"/>
          <w:sz w:val="22"/>
          <w:szCs w:val="22"/>
        </w:rPr>
        <w:t xml:space="preserve">One of the more interesting design decisions is that the system never loads the entire database description into every query. Instead, it loads only the relevant slice. Think of it like a specialist team: instead of asking a generalist who knows everything about everything superficially, you route the question to whoever actually knows that domain.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rPr>
          <w:tblHeader/>
        </w:trPr>
        <w:tc>
          <w:tcPr>
            <w:tcW w:type="dxa" w:w="1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Skill</w:t>
            </w:r>
          </w:p>
        </w:tc>
        <w:tc>
          <w:tcPr>
            <w:tcW w:type="dxa" w:w="45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Handles Questions About</w:t>
            </w:r>
          </w:p>
        </w:tc>
        <w:tc>
          <w:tcPr>
            <w:tcW w:type="dxa" w:w="1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Context Size</w:t>
            </w:r>
          </w:p>
        </w:tc>
        <w:tc>
          <w:tcPr>
            <w:tcW w:type="dxa" w:w="1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Trigger Words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Awareness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Top-of-mind, spontaneous recall, aided recall, brand funnel</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~550 tokens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TOM, recall, awareness, funnel</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NPS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Net Promoter Score, promoters, detractors, brand ratings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~500 tokens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NPS, promoter, recommend, score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Ownership</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Kitchen appliance ownership (mixer, microwave, kettle, etc.)</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~380 tokens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own, kitchen, mixer, appliance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Purchase</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Most recently purchased appliances, purchase rank</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~400 tokens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purchased, bought, recent, buy</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Room</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Room appliances (fans, ACs, geysers, light fittings, etc.)</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~380 tokens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fan, AC, geyser, bulb, room</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Demographics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City, zone, gender, age, interview date, respondent counts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~450 tokens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how many, city, gender, age, who</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General</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Any question not matched to a specific skill above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~900 tokens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(fallback — no keyword match)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7F2" w:val="clear"/>
            <w:tcMar>
              <w:top w:type="dxa" w:w="120"/>
              <w:left w:type="dxa" w:w="200"/>
              <w:bottom w:type="dxa" w:w="120"/>
              <w:right w:type="dxa" w:w="200"/>
            </w:tcMar>
          </w:tcPr>
          <w:p>
            <w:pPr>
              <w:spacing w:after="40" w:before="40"/>
            </w:pPr>
            <w:r>
              <w:rPr>
                <w:b/>
                <w:bCs/>
                <w:color w:val="1B3A6B"/>
                <w:sz w:val="20"/>
                <w:szCs w:val="20"/>
              </w:rPr>
              <w:t xml:space="preserve">Why this matters:  </w:t>
            </w:r>
            <w:r>
              <w:rPr>
                <w:color w:val="2D3748"/>
                <w:sz w:val="20"/>
                <w:szCs w:val="20"/>
              </w:rPr>
              <w:t xml:space="preserve">Before the skill system was built, every query sent about 6,500 tokens of context to the AI model. After: the average is ~700 tokens. That is an 80% reduction in API cost and a measurable speed improvement. On the free tier, this is the difference between hitting rate limits every 15 minutes versus running smoothly all day.</w:t>
            </w:r>
          </w:p>
        </w:tc>
      </w:tr>
    </w:tbl>
    <w:p>
      <w:pPr>
        <w:spacing w:after="0" w:before="80"/>
      </w:pPr>
    </w:p>
    <w:p>
      <w:pPr>
        <w:pStyle w:val="Heading2"/>
        <w:spacing w:after="120" w:before="240"/>
      </w:pPr>
      <w:r>
        <w:t xml:space="preserve">Follow-Up Questions</w:t>
      </w:r>
    </w:p>
    <w:p>
      <w:pPr>
        <w:spacing w:after="100" w:before="80"/>
        <w:jc w:val="left"/>
      </w:pPr>
      <w:r>
        <w:rPr>
          <w:color w:val="2D3748"/>
          <w:sz w:val="22"/>
          <w:szCs w:val="22"/>
        </w:rPr>
        <w:t xml:space="preserve">The system remembers the last 4 questions and the SQL they produced. This means if a user asks "How many respondents are from Mumbai?" and then types "Show me their details", the system knows "their" refers to Mumbai respondents — and adds the right filter automatically. This was verified across 10 multi-turn conversation flows, all successful.</w:t>
      </w:r>
    </w:p>
    <w:p>
      <w:pPr>
        <w:spacing w:after="0" w:before="200"/>
      </w:pPr>
    </w:p>
    <w:p>
      <w:pPr>
        <w:spacing w:after="0" w:before="0"/>
      </w:pPr>
      <w:r>
        <w:br w:type="page"/>
      </w:r>
    </w:p>
    <w:p>
      <w:pPr>
        <w:pStyle w:val="Heading1"/>
        <w:pBdr>
          <w:bottom w:val="single" w:color="1B3A6B" w:sz="6" w:space="4"/>
        </w:pBdr>
        <w:spacing w:after="160" w:before="320"/>
      </w:pPr>
      <w:r>
        <w:t xml:space="preserve">4.  Build Timeline</w:t>
      </w:r>
    </w:p>
    <w:p>
      <w:pPr>
        <w:spacing w:after="100" w:before="80"/>
        <w:jc w:val="left"/>
      </w:pPr>
      <w:r>
        <w:rPr>
          <w:color w:val="2D3748"/>
          <w:sz w:val="22"/>
          <w:szCs w:val="22"/>
        </w:rPr>
        <w:t xml:space="preserve">Everything described in this document was built in April 2026. Below is a day-by-day breakdown of what was completed when.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none" w:color="FFFFFF" w:sz="0"/>
            </w:tcBorders>
            <w:shd w:fill="1B3A6B" w:val="clear"/>
            <w:tcMar>
              <w:top w:type="dxa" w:w="80"/>
              <w:left w:type="dxa" w:w="80"/>
              <w:bottom w:type="dxa" w:w="80"/>
              <w:right w:type="dxa" w:w="80"/>
            </w:tcMar>
            <w:vAlign w:val="center"/>
          </w:tcPr>
          <w:p>
            <w:pPr>
              <w:spacing w:after="20" w:before="40"/>
              <w:jc w:val="center"/>
            </w:pPr>
            <w:r>
              <w:rPr>
                <w:b/>
                <w:bCs/>
                <w:color w:val="FFFFFF"/>
                <w:sz w:val="18"/>
                <w:szCs w:val="18"/>
              </w:rPr>
              <w:t xml:space="preserve">Apr 10</w:t>
            </w:r>
          </w:p>
        </w:tc>
        <w:tc>
          <w:tcPr>
            <w:tcBorders>
              <w:top w:val="single" w:color="CCCCCC" w:sz="1"/>
              <w:left w:val="none" w:color="FFFFFF" w:sz="0"/>
              <w:bottom w:val="single" w:color="CCCCCC" w:sz="1"/>
              <w:right w:val="single" w:color="CCCCCC" w:sz="1"/>
            </w:tcBorders>
            <w:shd w:fill="EBF4F8" w:val="clear"/>
            <w:tcMar>
              <w:top w:type="dxa" w:w="80"/>
              <w:left w:type="dxa" w:w="160"/>
              <w:bottom w:type="dxa" w:w="80"/>
              <w:right w:type="dxa" w:w="160"/>
            </w:tcMar>
          </w:tcPr>
          <w:p>
            <w:pPr>
              <w:spacing w:after="30" w:before="40"/>
            </w:pPr>
            <w:r>
              <w:rPr>
                <w:b/>
                <w:bCs/>
                <w:color w:val="1B3A6B"/>
                <w:sz w:val="22"/>
                <w:szCs w:val="22"/>
              </w:rPr>
              <w:t xml:space="preserve">Day 1 — Foundation: Database &amp; Initial App</w:t>
            </w:r>
          </w:p>
          <w:p>
            <w:pPr>
              <w:spacing w:after="10" w:before="10"/>
              <w:ind w:left="120"/>
            </w:pPr>
            <w:r>
              <w:rPr>
                <w:color w:val="2D3748"/>
                <w:sz w:val="20"/>
                <w:szCs w:val="20"/>
              </w:rPr>
              <w:t xml:space="preserve">• Set up the full project folder structure from scratch</w:t>
            </w:r>
          </w:p>
          <w:p>
            <w:pPr>
              <w:spacing w:after="10" w:before="10"/>
              <w:ind w:left="120"/>
            </w:pPr>
            <w:r>
              <w:rPr>
                <w:color w:val="2D3748"/>
                <w:sz w:val="20"/>
                <w:szCs w:val="20"/>
              </w:rPr>
              <w:t xml:space="preserve">• Built a config-driven ETL pipeline that loads the Excel survey data into a structured SQLite database</w:t>
            </w:r>
          </w:p>
          <w:p>
            <w:pPr>
              <w:spacing w:after="10" w:before="10"/>
              <w:ind w:left="120"/>
            </w:pPr>
            <w:r>
              <w:rPr>
                <w:color w:val="2D3748"/>
                <w:sz w:val="20"/>
                <w:szCs w:val="20"/>
              </w:rPr>
              <w:t xml:space="preserve">• Loaded all 6,631 respondents and 109,253 fact records across 6 tables</w:t>
            </w:r>
          </w:p>
          <w:p>
            <w:pPr>
              <w:spacing w:after="10" w:before="10"/>
              <w:ind w:left="120"/>
            </w:pPr>
            <w:r>
              <w:rPr>
                <w:color w:val="2D3748"/>
                <w:sz w:val="20"/>
                <w:szCs w:val="20"/>
              </w:rPr>
              <w:t xml:space="preserve">• Ran 5 data verification checks — all passed (Bajaj TOM: 26.3%, Mixer Grinder ownership: confirmed, etc.)</w:t>
            </w:r>
          </w:p>
          <w:p>
            <w:pPr>
              <w:spacing w:after="10" w:before="10"/>
              <w:ind w:left="120"/>
            </w:pPr>
            <w:r>
              <w:rPr>
                <w:color w:val="2D3748"/>
                <w:sz w:val="20"/>
                <w:szCs w:val="20"/>
              </w:rPr>
              <w:t xml:space="preserve">• Built the first version of the chat interface using Gemini 2.0 Flash</w:t>
            </w:r>
          </w:p>
          <w:p>
            <w:pPr>
              <w:spacing w:after="10" w:before="10"/>
              <w:ind w:left="120"/>
            </w:pPr>
            <w:r>
              <w:rPr>
                <w:color w:val="2D3748"/>
                <w:sz w:val="20"/>
                <w:szCs w:val="20"/>
              </w:rPr>
              <w:t xml:space="preserve">• Wrote core documentation: PROJECT.md, SCHEMA.md, LOGIC.md</w:t>
            </w:r>
          </w:p>
          <w:p>
            <w:pPr>
              <w:spacing w:after="40" w:before="40"/>
            </w:p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none" w:color="FFFFFF" w:sz="0"/>
            </w:tcBorders>
            <w:shd w:fill="1D6A72" w:val="clear"/>
            <w:tcMar>
              <w:top w:type="dxa" w:w="80"/>
              <w:left w:type="dxa" w:w="80"/>
              <w:bottom w:type="dxa" w:w="80"/>
              <w:right w:type="dxa" w:w="80"/>
            </w:tcMar>
            <w:vAlign w:val="center"/>
          </w:tcPr>
          <w:p>
            <w:pPr>
              <w:spacing w:after="20" w:before="40"/>
              <w:jc w:val="center"/>
            </w:pPr>
            <w:r>
              <w:rPr>
                <w:b/>
                <w:bCs/>
                <w:color w:val="FFFFFF"/>
                <w:sz w:val="18"/>
                <w:szCs w:val="18"/>
              </w:rPr>
              <w:t xml:space="preserve">Apr 11 (Part 1)</w:t>
            </w:r>
          </w:p>
        </w:tc>
        <w:tc>
          <w:tcPr>
            <w:tcBorders>
              <w:top w:val="single" w:color="CCCCCC" w:sz="1"/>
              <w:left w:val="none" w:color="FFFFFF" w:sz="0"/>
              <w:bottom w:val="single" w:color="CCCCCC" w:sz="1"/>
              <w:right w:val="single" w:color="CCCCCC" w:sz="1"/>
            </w:tcBorders>
            <w:shd w:fill="EBF4F8" w:val="clear"/>
            <w:tcMar>
              <w:top w:type="dxa" w:w="80"/>
              <w:left w:type="dxa" w:w="160"/>
              <w:bottom w:type="dxa" w:w="80"/>
              <w:right w:type="dxa" w:w="160"/>
            </w:tcMar>
          </w:tcPr>
          <w:p>
            <w:pPr>
              <w:spacing w:after="30" w:before="40"/>
            </w:pPr>
            <w:r>
              <w:rPr>
                <w:b/>
                <w:bCs/>
                <w:color w:val="1B3A6B"/>
                <w:sz w:val="22"/>
                <w:szCs w:val="22"/>
              </w:rPr>
              <w:t xml:space="preserve">Day 2 — API Switch &amp; Smart Visualisation</w:t>
            </w:r>
          </w:p>
          <w:p>
            <w:pPr>
              <w:spacing w:after="10" w:before="10"/>
              <w:ind w:left="120"/>
            </w:pPr>
            <w:r>
              <w:rPr>
                <w:color w:val="2D3748"/>
                <w:sz w:val="20"/>
                <w:szCs w:val="20"/>
              </w:rPr>
              <w:t xml:space="preserve">• Gemini free tier quota ran out — switched to Groq's Llama 3.3 70B model</w:t>
            </w:r>
          </w:p>
          <w:p>
            <w:pPr>
              <w:spacing w:after="10" w:before="10"/>
              <w:ind w:left="120"/>
            </w:pPr>
            <w:r>
              <w:rPr>
                <w:color w:val="2D3748"/>
                <w:sz w:val="20"/>
                <w:szCs w:val="20"/>
              </w:rPr>
              <w:t xml:space="preserve">• Added multi-turn conversation context (the system now remembers the last 4 exchanges)</w:t>
            </w:r>
          </w:p>
          <w:p>
            <w:pPr>
              <w:spacing w:after="10" w:before="10"/>
              <w:ind w:left="120"/>
            </w:pPr>
            <w:r>
              <w:rPr>
                <w:color w:val="2D3748"/>
                <w:sz w:val="20"/>
                <w:szCs w:val="20"/>
              </w:rPr>
              <w:t xml:space="preserve">• Added smart chart rendering: bar charts for comparisons, metric cards for single numbers, NPS waterfall for score breakdowns</w:t>
            </w:r>
          </w:p>
          <w:p>
            <w:pPr>
              <w:spacing w:after="10" w:before="10"/>
              <w:ind w:left="120"/>
            </w:pPr>
            <w:r>
              <w:rPr>
                <w:color w:val="2D3748"/>
                <w:sz w:val="20"/>
                <w:szCs w:val="20"/>
              </w:rPr>
              <w:t xml:space="preserve">• Fixed the spaghetti line chart bug (BUG-006) — detail queries now go straight to a table</w:t>
            </w:r>
          </w:p>
          <w:p>
            <w:pPr>
              <w:spacing w:after="10" w:before="10"/>
              <w:ind w:left="120"/>
            </w:pPr>
            <w:r>
              <w:rPr>
                <w:color w:val="2D3748"/>
                <w:sz w:val="20"/>
                <w:szCs w:val="20"/>
              </w:rPr>
              <w:t xml:space="preserve">• Fixed the bar chart rendering failure (BUG-007) — simplified Plotly call, added fallback</w:t>
            </w:r>
          </w:p>
          <w:p>
            <w:pPr>
              <w:spacing w:after="40" w:before="40"/>
            </w:p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none" w:color="FFFFFF" w:sz="0"/>
            </w:tcBorders>
            <w:shd w:fill="1D6A72" w:val="clear"/>
            <w:tcMar>
              <w:top w:type="dxa" w:w="80"/>
              <w:left w:type="dxa" w:w="80"/>
              <w:bottom w:type="dxa" w:w="80"/>
              <w:right w:type="dxa" w:w="80"/>
            </w:tcMar>
            <w:vAlign w:val="center"/>
          </w:tcPr>
          <w:p>
            <w:pPr>
              <w:spacing w:after="20" w:before="40"/>
              <w:jc w:val="center"/>
            </w:pPr>
            <w:r>
              <w:rPr>
                <w:b/>
                <w:bCs/>
                <w:color w:val="FFFFFF"/>
                <w:sz w:val="18"/>
                <w:szCs w:val="18"/>
              </w:rPr>
              <w:t xml:space="preserve">Apr 11 (Part 2)</w:t>
            </w:r>
          </w:p>
        </w:tc>
        <w:tc>
          <w:tcPr>
            <w:tcBorders>
              <w:top w:val="single" w:color="CCCCCC" w:sz="1"/>
              <w:left w:val="none" w:color="FFFFFF" w:sz="0"/>
              <w:bottom w:val="single" w:color="CCCCCC" w:sz="1"/>
              <w:right w:val="single" w:color="CCCCCC" w:sz="1"/>
            </w:tcBorders>
            <w:shd w:fill="EBF4F8" w:val="clear"/>
            <w:tcMar>
              <w:top w:type="dxa" w:w="80"/>
              <w:left w:type="dxa" w:w="160"/>
              <w:bottom w:type="dxa" w:w="80"/>
              <w:right w:type="dxa" w:w="160"/>
            </w:tcMar>
          </w:tcPr>
          <w:p>
            <w:pPr>
              <w:spacing w:after="30" w:before="40"/>
            </w:pPr>
            <w:r>
              <w:rPr>
                <w:b/>
                <w:bCs/>
                <w:color w:val="1B3A6B"/>
                <w:sz w:val="22"/>
                <w:szCs w:val="22"/>
              </w:rPr>
              <w:t xml:space="preserve">Day 2 — Token Optimisation &amp; Skill Routing</w:t>
            </w:r>
          </w:p>
          <w:p>
            <w:pPr>
              <w:spacing w:after="10" w:before="10"/>
              <w:ind w:left="120"/>
            </w:pPr>
            <w:r>
              <w:rPr>
                <w:color w:val="2D3748"/>
                <w:sz w:val="20"/>
                <w:szCs w:val="20"/>
              </w:rPr>
              <w:t xml:space="preserve">• Identified that every query was sending ~6,500 tokens — 10x what was necessary (BUG-008)</w:t>
            </w:r>
          </w:p>
          <w:p>
            <w:pPr>
              <w:spacing w:after="10" w:before="10"/>
              <w:ind w:left="120"/>
            </w:pPr>
            <w:r>
              <w:rPr>
                <w:color w:val="2D3748"/>
                <w:sz w:val="20"/>
                <w:szCs w:val="20"/>
              </w:rPr>
              <w:t xml:space="preserve">• Replaced the full documentation injection with compact, skill-specific context slices</w:t>
            </w:r>
          </w:p>
          <w:p>
            <w:pPr>
              <w:spacing w:after="10" w:before="10"/>
              <w:ind w:left="120"/>
            </w:pPr>
            <w:r>
              <w:rPr>
                <w:color w:val="2D3748"/>
                <w:sz w:val="20"/>
                <w:szCs w:val="20"/>
              </w:rPr>
              <w:t xml:space="preserve">• Achieved 80% token reduction: ~6,500 → ~700 tokens per query on average</w:t>
            </w:r>
          </w:p>
          <w:p>
            <w:pPr>
              <w:spacing w:after="10" w:before="10"/>
              <w:ind w:left="120"/>
            </w:pPr>
            <w:r>
              <w:rPr>
                <w:color w:val="2D3748"/>
                <w:sz w:val="20"/>
                <w:szCs w:val="20"/>
              </w:rPr>
              <w:t xml:space="preserve">• Introduced the 6-skill routing system based on keyword matching — zero extra AI cost</w:t>
            </w:r>
          </w:p>
          <w:p>
            <w:pPr>
              <w:spacing w:after="10" w:before="10"/>
              <w:ind w:left="120"/>
            </w:pPr>
            <w:r>
              <w:rPr>
                <w:color w:val="2D3748"/>
                <w:sz w:val="20"/>
                <w:szCs w:val="20"/>
              </w:rPr>
              <w:t xml:space="preserve">• Added Schema Explorer page: live row counts, ER diagram, view descriptions</w:t>
            </w:r>
          </w:p>
          <w:p>
            <w:pPr>
              <w:spacing w:after="10" w:before="10"/>
              <w:ind w:left="120"/>
            </w:pPr>
            <w:r>
              <w:rPr>
                <w:color w:val="2D3748"/>
                <w:sz w:val="20"/>
                <w:szCs w:val="20"/>
              </w:rPr>
              <w:t xml:space="preserve">• Wrote SKILLS.md and updated CONTEXT.md to document the new architecture</w:t>
            </w:r>
          </w:p>
          <w:p>
            <w:pPr>
              <w:spacing w:after="40" w:before="40"/>
            </w:p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none" w:color="FFFFFF" w:sz="0"/>
            </w:tcBorders>
            <w:shd w:fill="1D6A72" w:val="clear"/>
            <w:tcMar>
              <w:top w:type="dxa" w:w="80"/>
              <w:left w:type="dxa" w:w="80"/>
              <w:bottom w:type="dxa" w:w="80"/>
              <w:right w:type="dxa" w:w="80"/>
            </w:tcMar>
            <w:vAlign w:val="center"/>
          </w:tcPr>
          <w:p>
            <w:pPr>
              <w:spacing w:after="20" w:before="40"/>
              <w:jc w:val="center"/>
            </w:pPr>
            <w:r>
              <w:rPr>
                <w:b/>
                <w:bCs/>
                <w:color w:val="FFFFFF"/>
                <w:sz w:val="18"/>
                <w:szCs w:val="18"/>
              </w:rPr>
              <w:t xml:space="preserve">Apr 11 (Part 3)</w:t>
            </w:r>
          </w:p>
        </w:tc>
        <w:tc>
          <w:tcPr>
            <w:tcBorders>
              <w:top w:val="single" w:color="CCCCCC" w:sz="1"/>
              <w:left w:val="none" w:color="FFFFFF" w:sz="0"/>
              <w:bottom w:val="single" w:color="CCCCCC" w:sz="1"/>
              <w:right w:val="single" w:color="CCCCCC" w:sz="1"/>
            </w:tcBorders>
            <w:shd w:fill="EBF4F8" w:val="clear"/>
            <w:tcMar>
              <w:top w:type="dxa" w:w="80"/>
              <w:left w:type="dxa" w:w="160"/>
              <w:bottom w:type="dxa" w:w="80"/>
              <w:right w:type="dxa" w:w="160"/>
            </w:tcMar>
          </w:tcPr>
          <w:p>
            <w:pPr>
              <w:spacing w:after="30" w:before="40"/>
            </w:pPr>
            <w:r>
              <w:rPr>
                <w:b/>
                <w:bCs/>
                <w:color w:val="1B3A6B"/>
                <w:sz w:val="22"/>
                <w:szCs w:val="22"/>
              </w:rPr>
              <w:t xml:space="preserve">Day 3 — Generalised Skill Foundry</w:t>
            </w:r>
          </w:p>
          <w:p>
            <w:pPr>
              <w:spacing w:after="10" w:before="10"/>
              <w:ind w:left="120"/>
            </w:pPr>
            <w:r>
              <w:rPr>
                <w:color w:val="2D3748"/>
                <w:sz w:val="20"/>
                <w:szCs w:val="20"/>
              </w:rPr>
              <w:t xml:space="preserve">• Refactored the skill system into a 3-layer architecture (universal rules → domain logic → project config)</w:t>
            </w:r>
          </w:p>
          <w:p>
            <w:pPr>
              <w:spacing w:after="10" w:before="10"/>
              <w:ind w:left="120"/>
            </w:pPr>
            <w:r>
              <w:rPr>
                <w:color w:val="2D3748"/>
                <w:sz w:val="20"/>
                <w:szCs w:val="20"/>
              </w:rPr>
              <w:t xml:space="preserve">• This means adding a second survey project in future requires only editing one configuration file — the NPS, awareness, and ownership logic is shared</w:t>
            </w:r>
          </w:p>
          <w:p>
            <w:pPr>
              <w:spacing w:after="10" w:before="10"/>
              <w:ind w:left="120"/>
            </w:pPr>
            <w:r>
              <w:rPr>
                <w:color w:val="2D3748"/>
                <w:sz w:val="20"/>
                <w:szCs w:val="20"/>
              </w:rPr>
              <w:t xml:space="preserve">• Replaced the static ER diagram with an interactive Cytoscape.js version (drag nodes, hover for row counts)</w:t>
            </w:r>
          </w:p>
          <w:p>
            <w:pPr>
              <w:spacing w:after="10" w:before="10"/>
              <w:ind w:left="120"/>
            </w:pPr>
            <w:r>
              <w:rPr>
                <w:color w:val="2D3748"/>
                <w:sz w:val="20"/>
                <w:szCs w:val="20"/>
              </w:rPr>
              <w:t xml:space="preserve">• Fixed Schema Explorer not appearing in the sidebar (Streamlit version compatibility issue)</w:t>
            </w:r>
          </w:p>
          <w:p>
            <w:pPr>
              <w:spacing w:after="10" w:before="10"/>
              <w:ind w:left="120"/>
            </w:pPr>
            <w:r>
              <w:rPr>
                <w:color w:val="2D3748"/>
                <w:sz w:val="20"/>
                <w:szCs w:val="20"/>
              </w:rPr>
              <w:t xml:space="preserve">• Fixed purchase skill routing missing verb forms of "buy"</w:t>
            </w:r>
          </w:p>
          <w:p>
            <w:pPr>
              <w:spacing w:after="10" w:before="10"/>
              <w:ind w:left="120"/>
            </w:pPr>
            <w:r>
              <w:rPr>
                <w:color w:val="2D3748"/>
                <w:sz w:val="20"/>
                <w:szCs w:val="20"/>
              </w:rPr>
              <w:t xml:space="preserve">• All 14 routing test cases passed</w:t>
            </w:r>
          </w:p>
          <w:p>
            <w:pPr>
              <w:spacing w:after="40" w:before="40"/>
            </w:p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none" w:color="FFFFFF" w:sz="0"/>
            </w:tcBorders>
            <w:shd w:fill="9A6700" w:val="clear"/>
            <w:tcMar>
              <w:top w:type="dxa" w:w="80"/>
              <w:left w:type="dxa" w:w="80"/>
              <w:bottom w:type="dxa" w:w="80"/>
              <w:right w:type="dxa" w:w="80"/>
            </w:tcMar>
            <w:vAlign w:val="center"/>
          </w:tcPr>
          <w:p>
            <w:pPr>
              <w:spacing w:after="20" w:before="40"/>
              <w:jc w:val="center"/>
            </w:pPr>
            <w:r>
              <w:rPr>
                <w:b/>
                <w:bCs/>
                <w:color w:val="FFFFFF"/>
                <w:sz w:val="18"/>
                <w:szCs w:val="18"/>
              </w:rPr>
              <w:t xml:space="preserve">Apr 12</w:t>
            </w:r>
          </w:p>
        </w:tc>
        <w:tc>
          <w:tcPr>
            <w:tcBorders>
              <w:top w:val="single" w:color="CCCCCC" w:sz="1"/>
              <w:left w:val="none" w:color="FFFFFF" w:sz="0"/>
              <w:bottom w:val="single" w:color="CCCCCC" w:sz="1"/>
              <w:right w:val="single" w:color="CCCCCC" w:sz="1"/>
            </w:tcBorders>
            <w:shd w:fill="EBF4F8" w:val="clear"/>
            <w:tcMar>
              <w:top w:type="dxa" w:w="80"/>
              <w:left w:type="dxa" w:w="160"/>
              <w:bottom w:type="dxa" w:w="80"/>
              <w:right w:type="dxa" w:w="160"/>
            </w:tcMar>
          </w:tcPr>
          <w:p>
            <w:pPr>
              <w:spacing w:after="30" w:before="40"/>
            </w:pPr>
            <w:r>
              <w:rPr>
                <w:b/>
                <w:bCs/>
                <w:color w:val="1B3A6B"/>
                <w:sz w:val="22"/>
                <w:szCs w:val="22"/>
              </w:rPr>
              <w:t xml:space="preserve">Day 4 — Testing &amp; Validation</w:t>
            </w:r>
          </w:p>
          <w:p>
            <w:pPr>
              <w:spacing w:after="10" w:before="10"/>
              <w:ind w:left="120"/>
            </w:pPr>
            <w:r>
              <w:rPr>
                <w:color w:val="2D3748"/>
                <w:sz w:val="20"/>
                <w:szCs w:val="20"/>
              </w:rPr>
              <w:t xml:space="preserve">• Built a comprehensive automated test suite (170+ questions across all 7 skill areas)</w:t>
            </w:r>
          </w:p>
          <w:p>
            <w:pPr>
              <w:spacing w:after="10" w:before="10"/>
              <w:ind w:left="120"/>
            </w:pPr>
            <w:r>
              <w:rPr>
                <w:color w:val="2D3748"/>
                <w:sz w:val="20"/>
                <w:szCs w:val="20"/>
              </w:rPr>
              <w:t xml:space="preserve">• Ran 10 multi-turn conversation flows — all 19 questions answered correctly (100%)</w:t>
            </w:r>
          </w:p>
          <w:p>
            <w:pPr>
              <w:spacing w:after="10" w:before="10"/>
              <w:ind w:left="120"/>
            </w:pPr>
            <w:r>
              <w:rPr>
                <w:color w:val="2D3748"/>
                <w:sz w:val="20"/>
                <w:szCs w:val="20"/>
              </w:rPr>
              <w:t xml:space="preserve">• Verified key numbers directly against the database: 6,631 respondents, Crompton NPS 64.0, ceiling fan ownership 98.4%</w:t>
            </w:r>
          </w:p>
          <w:p>
            <w:pPr>
              <w:spacing w:after="10" w:before="10"/>
              <w:ind w:left="120"/>
            </w:pPr>
            <w:r>
              <w:rPr>
                <w:color w:val="2D3748"/>
                <w:sz w:val="20"/>
                <w:szCs w:val="20"/>
              </w:rPr>
              <w:t xml:space="preserve">• Hit Groq's daily token limit during testing — added Gemini as an automatic fallback</w:t>
            </w:r>
          </w:p>
          <w:p>
            <w:pPr>
              <w:spacing w:after="10" w:before="10"/>
              <w:ind w:left="120"/>
            </w:pPr>
            <w:r>
              <w:rPr>
                <w:color w:val="2D3748"/>
                <w:sz w:val="20"/>
                <w:szCs w:val="20"/>
              </w:rPr>
              <w:t xml:space="preserve">• Identified one routing conflict: "breakdown by gender" triggers the wrong skill (BUG-013 — fix scheduled)</w:t>
            </w:r>
          </w:p>
          <w:p>
            <w:pPr>
              <w:spacing w:after="10" w:before="10"/>
              <w:ind w:left="120"/>
            </w:pPr>
            <w:r>
              <w:rPr>
                <w:color w:val="2D3748"/>
                <w:sz w:val="20"/>
                <w:szCs w:val="20"/>
              </w:rPr>
              <w:t xml:space="preserve">• Switched to a lighter model variant (llama-3.1-8b-instant) — reduced token use by another 30%</w:t>
            </w:r>
          </w:p>
          <w:p>
            <w:pPr>
              <w:spacing w:after="40" w:before="40"/>
            </w:p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none" w:color="FFFFFF" w:sz="0"/>
            </w:tcBorders>
            <w:shd w:fill="1A7F4B" w:val="clear"/>
            <w:tcMar>
              <w:top w:type="dxa" w:w="80"/>
              <w:left w:type="dxa" w:w="80"/>
              <w:bottom w:type="dxa" w:w="80"/>
              <w:right w:type="dxa" w:w="80"/>
            </w:tcMar>
            <w:vAlign w:val="center"/>
          </w:tcPr>
          <w:p>
            <w:pPr>
              <w:spacing w:after="20" w:before="40"/>
              <w:jc w:val="center"/>
            </w:pPr>
            <w:r>
              <w:rPr>
                <w:b/>
                <w:bCs/>
                <w:color w:val="FFFFFF"/>
                <w:sz w:val="18"/>
                <w:szCs w:val="18"/>
              </w:rPr>
              <w:t xml:space="preserve">Next Week</w:t>
            </w:r>
          </w:p>
        </w:tc>
        <w:tc>
          <w:tcPr>
            <w:tcBorders>
              <w:top w:val="single" w:color="CCCCCC" w:sz="1"/>
              <w:left w:val="none" w:color="FFFFFF" w:sz="0"/>
              <w:bottom w:val="single" w:color="CCCCCC" w:sz="1"/>
              <w:right w:val="single" w:color="CCCCCC" w:sz="1"/>
            </w:tcBorders>
            <w:shd w:fill="EBF4F8" w:val="clear"/>
            <w:tcMar>
              <w:top w:type="dxa" w:w="80"/>
              <w:left w:type="dxa" w:w="160"/>
              <w:bottom w:type="dxa" w:w="80"/>
              <w:right w:type="dxa" w:w="160"/>
            </w:tcMar>
          </w:tcPr>
          <w:p>
            <w:pPr>
              <w:spacing w:after="30" w:before="40"/>
            </w:pPr>
            <w:r>
              <w:rPr>
                <w:b/>
                <w:bCs/>
                <w:color w:val="1B3A6B"/>
                <w:sz w:val="22"/>
                <w:szCs w:val="22"/>
              </w:rPr>
              <w:t xml:space="preserve">Integration &amp; Deliverables</w:t>
            </w:r>
          </w:p>
          <w:p>
            <w:pPr>
              <w:spacing w:after="10" w:before="10"/>
              <w:ind w:left="120"/>
            </w:pPr>
            <w:r>
              <w:rPr>
                <w:color w:val="2D3748"/>
                <w:sz w:val="20"/>
                <w:szCs w:val="20"/>
              </w:rPr>
              <w:t xml:space="preserve">• Fix BUG-013: keyword conflict causing "gender breakdown" to route to wrong skill</w:t>
            </w:r>
          </w:p>
          <w:p>
            <w:pPr>
              <w:spacing w:after="10" w:before="10"/>
              <w:ind w:left="120"/>
            </w:pPr>
            <w:r>
              <w:rPr>
                <w:color w:val="2D3748"/>
                <w:sz w:val="20"/>
                <w:szCs w:val="20"/>
              </w:rPr>
              <w:t xml:space="preserve">• Connect qualitative transcripts (234 interview .md files) to the quantitative database</w:t>
            </w:r>
          </w:p>
          <w:p>
            <w:pPr>
              <w:spacing w:after="10" w:before="10"/>
              <w:ind w:left="120"/>
            </w:pPr>
            <w:r>
              <w:rPr>
                <w:color w:val="2D3748"/>
                <w:sz w:val="20"/>
                <w:szCs w:val="20"/>
              </w:rPr>
              <w:t xml:space="preserve">• Build the project selector in the Streamlit sidebar (supports multiple survey projects from a single interface)</w:t>
            </w:r>
          </w:p>
          <w:p>
            <w:pPr>
              <w:spacing w:after="10" w:before="10"/>
              <w:ind w:left="120"/>
            </w:pPr>
            <w:r>
              <w:rPr>
                <w:color w:val="2D3748"/>
                <w:sz w:val="20"/>
                <w:szCs w:val="20"/>
              </w:rPr>
              <w:t xml:space="preserve">• Begin Phase 2 analytics: brand funnel conversion rates, cross-tab analysis (brand × city × gender)</w:t>
            </w:r>
          </w:p>
          <w:p>
            <w:pPr>
              <w:spacing w:after="10" w:before="10"/>
              <w:ind w:left="120"/>
            </w:pPr>
            <w:r>
              <w:rPr>
                <w:color w:val="2D3748"/>
                <w:sz w:val="20"/>
                <w:szCs w:val="20"/>
              </w:rPr>
              <w:t xml:space="preserve">• Prepare first client-facing demo</w:t>
            </w:r>
          </w:p>
          <w:p>
            <w:pPr>
              <w:spacing w:after="40" w:before="40"/>
            </w:pPr>
          </w:p>
        </w:tc>
      </w:tr>
    </w:tbl>
    <w:p>
      <w:pPr>
        <w:spacing w:after="0" w:before="200"/>
      </w:pPr>
    </w:p>
    <w:p>
      <w:pPr>
        <w:spacing w:after="0" w:before="0"/>
      </w:pPr>
      <w:r>
        <w:br w:type="page"/>
      </w:r>
    </w:p>
    <w:p>
      <w:pPr>
        <w:pStyle w:val="Heading1"/>
        <w:pBdr>
          <w:bottom w:val="single" w:color="1B3A6B" w:sz="6" w:space="4"/>
        </w:pBdr>
        <w:spacing w:after="160" w:before="320"/>
      </w:pPr>
      <w:r>
        <w:t xml:space="preserve">5.  Test Results</w:t>
      </w:r>
    </w:p>
    <w:p>
      <w:pPr>
        <w:spacing w:after="100" w:before="80"/>
        <w:jc w:val="left"/>
      </w:pPr>
      <w:r>
        <w:rPr>
          <w:color w:val="2D3748"/>
          <w:sz w:val="22"/>
          <w:szCs w:val="22"/>
        </w:rPr>
        <w:t xml:space="preserve">On April 12, the system went through its most rigorous testing session. Questions were grouped by topic area and run through the system automatically, with results verified against direct database queries for a sample set.</w:t>
      </w:r>
    </w:p>
    <w:p>
      <w:pPr>
        <w:spacing w:after="0" w:before="120"/>
      </w:pPr>
    </w:p>
    <w:p>
      <w:pPr>
        <w:pStyle w:val="Heading2"/>
        <w:spacing w:after="120" w:before="240"/>
      </w:pPr>
      <w:r>
        <w:t xml:space="preserve">Summary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170+</w:t>
            </w:r>
          </w:p>
          <w:p>
            <w:pPr>
              <w:spacing w:after="30" w:before="0"/>
              <w:jc w:val="center"/>
            </w:pPr>
            <w:r>
              <w:rPr>
                <w:color w:val="4A5568"/>
                <w:sz w:val="18"/>
                <w:szCs w:val="18"/>
              </w:rPr>
              <w:t xml:space="preserve">Total Questions Tested</w:t>
            </w:r>
          </w:p>
          <w:p>
            <w:pPr>
              <w:spacing w:after="60" w:before="0"/>
              <w:jc w:val="center"/>
            </w:pPr>
            <w:r>
              <w:rPr>
                <w:b/>
                <w:bCs/>
                <w:color w:val="1D6A72"/>
                <w:sz w:val="16"/>
                <w:szCs w:val="16"/>
              </w:rPr>
              <w:t xml:space="preserve">Across all skill areas</w:t>
            </w:r>
          </w:p>
        </w:tc>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100%</w:t>
            </w:r>
          </w:p>
          <w:p>
            <w:pPr>
              <w:spacing w:after="30" w:before="0"/>
              <w:jc w:val="center"/>
            </w:pPr>
            <w:r>
              <w:rPr>
                <w:color w:val="4A5568"/>
                <w:sz w:val="18"/>
                <w:szCs w:val="18"/>
              </w:rPr>
              <w:t xml:space="preserve">SQL Generation Success</w:t>
            </w:r>
          </w:p>
          <w:p>
            <w:pPr>
              <w:spacing w:after="60" w:before="0"/>
              <w:jc w:val="center"/>
            </w:pPr>
            <w:r>
              <w:rPr>
                <w:b/>
                <w:bCs/>
                <w:color w:val="1D6A72"/>
                <w:sz w:val="16"/>
                <w:szCs w:val="16"/>
              </w:rPr>
              <w:t xml:space="preserve">Every query executed</w:t>
            </w:r>
          </w:p>
        </w:tc>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91%</w:t>
            </w:r>
          </w:p>
          <w:p>
            <w:pPr>
              <w:spacing w:after="30" w:before="0"/>
              <w:jc w:val="center"/>
            </w:pPr>
            <w:r>
              <w:rPr>
                <w:color w:val="4A5568"/>
                <w:sz w:val="18"/>
                <w:szCs w:val="18"/>
              </w:rPr>
              <w:t xml:space="preserve">Routing Accuracy</w:t>
            </w:r>
          </w:p>
          <w:p>
            <w:pPr>
              <w:spacing w:after="60" w:before="0"/>
              <w:jc w:val="center"/>
            </w:pPr>
            <w:r>
              <w:rPr>
                <w:b/>
                <w:bCs/>
                <w:color w:val="1D6A72"/>
                <w:sz w:val="16"/>
                <w:szCs w:val="16"/>
              </w:rPr>
              <w:t xml:space="preserve">155/170 correct skill</w:t>
            </w:r>
          </w:p>
        </w:tc>
        <w:tc>
          <w:tcPr>
            <w:tcBorders>
              <w:top w:val="single" w:color="CCCCCC" w:sz="1"/>
              <w:left w:val="single" w:color="CCCCCC" w:sz="1"/>
              <w:bottom w:val="single" w:color="CCCCCC" w:sz="1"/>
              <w:right w:val="single" w:color="CCCCCC" w:sz="1"/>
            </w:tcBorders>
            <w:shd w:fill="EBF4F8" w:val="clear"/>
            <w:tcMar>
              <w:top w:type="dxa" w:w="60"/>
              <w:left w:type="dxa" w:w="120"/>
              <w:bottom w:type="dxa" w:w="60"/>
              <w:right w:type="dxa" w:w="120"/>
            </w:tcMar>
          </w:tcPr>
          <w:p>
            <w:pPr>
              <w:spacing w:after="30" w:before="60"/>
              <w:jc w:val="center"/>
            </w:pPr>
            <w:r>
              <w:rPr>
                <w:b/>
                <w:bCs/>
                <w:color w:val="1B3A6B"/>
                <w:sz w:val="52"/>
                <w:szCs w:val="52"/>
              </w:rPr>
              <w:t xml:space="preserve">~650</w:t>
            </w:r>
          </w:p>
          <w:p>
            <w:pPr>
              <w:spacing w:after="30" w:before="0"/>
              <w:jc w:val="center"/>
            </w:pPr>
            <w:r>
              <w:rPr>
                <w:color w:val="4A5568"/>
                <w:sz w:val="18"/>
                <w:szCs w:val="18"/>
              </w:rPr>
              <w:t xml:space="preserve">Avg Tokens per Query</w:t>
            </w:r>
          </w:p>
          <w:p>
            <w:pPr>
              <w:spacing w:after="60" w:before="0"/>
              <w:jc w:val="center"/>
            </w:pPr>
            <w:r>
              <w:rPr>
                <w:b/>
                <w:bCs/>
                <w:color w:val="1D6A72"/>
                <w:sz w:val="16"/>
                <w:szCs w:val="16"/>
              </w:rPr>
              <w:t xml:space="preserve">Down from 6,500</w:t>
            </w:r>
          </w:p>
        </w:tc>
      </w:tr>
    </w:tbl>
    <w:p>
      <w:pPr>
        <w:spacing w:after="0" w:before="120"/>
      </w:pPr>
    </w:p>
    <w:p>
      <w:pPr>
        <w:pStyle w:val="Heading2"/>
        <w:spacing w:after="120" w:before="240"/>
      </w:pPr>
      <w:r>
        <w:t xml:space="preserve">Results by Skill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400"/>
        <w:gridCol w:w="3000"/>
      </w:tblGrid>
      <w:tr>
        <w:trPr>
          <w:tblHeader/>
        </w:trPr>
        <w:tc>
          <w:tcPr>
            <w:tcW w:type="dxa" w:w="24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Skill Area</w:t>
            </w:r>
          </w:p>
        </w:tc>
        <w:tc>
          <w:tcPr>
            <w:tcW w:type="dxa" w:w="15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Questions</w:t>
            </w:r>
          </w:p>
        </w:tc>
        <w:tc>
          <w:tcPr>
            <w:tcW w:type="dxa" w:w="24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SQL Success Rate</w:t>
            </w:r>
          </w:p>
        </w:tc>
        <w:tc>
          <w:tcPr>
            <w:tcW w:type="dxa" w:w="30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Routing Accuracy</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Brand Awareness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93%</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NPS / Brand Ratings</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30</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100%</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100%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Demographics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90%</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Kitchen Ownership</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12</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92%</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Recent Purchase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100%</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Room Appliances</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10</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100%</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90%</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Edge Cases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80%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  (intentionally difficult)</w:t>
            </w:r>
          </w:p>
        </w:tc>
      </w:tr>
    </w:tbl>
    <w:p>
      <w:pPr>
        <w:spacing w:after="0" w:before="120"/>
      </w:pPr>
    </w:p>
    <w:p>
      <w:pPr>
        <w:pStyle w:val="Heading2"/>
        <w:spacing w:after="120" w:before="240"/>
      </w:pPr>
      <w:r>
        <w:t xml:space="preserve">Verified Key Numbers</w:t>
      </w:r>
    </w:p>
    <w:p>
      <w:pPr>
        <w:spacing w:after="100" w:before="80"/>
        <w:jc w:val="left"/>
      </w:pPr>
      <w:r>
        <w:rPr>
          <w:color w:val="2D3748"/>
          <w:sz w:val="22"/>
          <w:szCs w:val="22"/>
        </w:rPr>
        <w:t xml:space="preserve">The following figures were verified by running direct SQL queries against the database and comparing them to the system's answers. All match.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1500"/>
        <w:gridCol w:w="1360"/>
      </w:tblGrid>
      <w:tr>
        <w:trPr>
          <w:tblHeader/>
        </w:trPr>
        <w:tc>
          <w:tcPr>
            <w:tcW w:type="dxa" w:w="4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Metric</w:t>
            </w:r>
          </w:p>
        </w:tc>
        <w:tc>
          <w:tcPr>
            <w:tcW w:type="dxa" w:w="20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Expected</w:t>
            </w:r>
          </w:p>
        </w:tc>
        <w:tc>
          <w:tcPr>
            <w:tcW w:type="dxa" w:w="1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Returned</w:t>
            </w:r>
          </w:p>
        </w:tc>
        <w:tc>
          <w:tcPr>
            <w:tcW w:type="dxa" w:w="13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Total respondents in survey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6,631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6,631</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Respondents from Mumbai</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545</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545</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Crompton top-of-mind (TOM) mentions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1,136 (17.1%)</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1,136 (17.1%)</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Crompton Net Promoter Score</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64.0</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64.0</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Mixer Grinder / Mixie ownership</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93.3%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93.3%</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Ceiling fan ownership</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98.4%</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98.4%</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Respondents aged 25–35</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52.3%</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52.3%</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Bajaj TOM mentions</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1,746 (26.3%)</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1,746 (26.3%)</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Bajaj NPS score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68.2</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68.2</w:t>
            </w:r>
          </w:p>
        </w:tc>
        <w:tc>
          <w:tcPr>
            <w:tcW w:type="dxa" w:w="13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bl>
    <w:p>
      <w:pPr>
        <w:spacing w:after="0" w:before="120"/>
      </w:pPr>
    </w:p>
    <w:p>
      <w:pPr>
        <w:pStyle w:val="Heading2"/>
        <w:spacing w:after="120" w:before="240"/>
      </w:pPr>
      <w:r>
        <w:t xml:space="preserve">Multi-Turn Conversation Testing</w:t>
      </w:r>
    </w:p>
    <w:p>
      <w:pPr>
        <w:spacing w:after="100" w:before="80"/>
        <w:jc w:val="left"/>
      </w:pPr>
      <w:r>
        <w:rPr>
          <w:color w:val="2D3748"/>
          <w:sz w:val="22"/>
          <w:szCs w:val="22"/>
        </w:rPr>
        <w:t xml:space="preserve">Ten conversation flows were run end-to-end to check that follow-up questions work correctly. Each flow started with one question and then asked a related follow-up — testing whether the system correctly carried context forward.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1160"/>
      </w:tblGrid>
      <w:tr>
        <w:trPr>
          <w:tblHeader/>
        </w:trPr>
        <w:tc>
          <w:tcPr>
            <w:tcW w:type="dxa" w:w="26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Conversation Flow</w:t>
            </w:r>
          </w:p>
        </w:tc>
        <w:tc>
          <w:tcPr>
            <w:tcW w:type="dxa" w:w="2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First Question</w:t>
            </w:r>
          </w:p>
        </w:tc>
        <w:tc>
          <w:tcPr>
            <w:tcW w:type="dxa" w:w="2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Follow-Up</w:t>
            </w:r>
          </w:p>
        </w:tc>
        <w:tc>
          <w:tcPr>
            <w:tcW w:type="dxa" w:w="11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Mumbai follow-up</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How many from Mumbai?</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Show me their details</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Age group breakdown</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Count in 25–35 age group?</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Show gender breakdown</w:t>
            </w:r>
          </w:p>
        </w:tc>
        <w:tc>
          <w:tcPr>
            <w:tcW w:type="dxa" w:w="1160"/>
            <w:tcBorders>
              <w:top w:val="single" w:color="CCCCCC" w:sz="1"/>
              <w:left w:val="single" w:color="CCCCCC" w:sz="1"/>
              <w:bottom w:val="single" w:color="CCCCCC" w:sz="1"/>
              <w:right w:val="single" w:color="CCCCCC" w:sz="1"/>
            </w:tcBorders>
            <w:shd w:fill="FEF3CD" w:val="clear"/>
            <w:tcMar>
              <w:top w:type="dxa" w:w="90"/>
              <w:left w:type="dxa" w:w="130"/>
              <w:bottom w:type="dxa" w:w="90"/>
              <w:right w:type="dxa" w:w="130"/>
            </w:tcMar>
            <w:vAlign w:val="center"/>
          </w:tcPr>
          <w:p>
            <w:pPr>
              <w:spacing w:after="0" w:before="0"/>
              <w:jc w:val="center"/>
            </w:pPr>
            <w:r>
              <w:rPr>
                <w:b/>
                <w:bCs/>
                <w:color w:val="9A6700"/>
                <w:sz w:val="20"/>
                <w:szCs w:val="20"/>
              </w:rPr>
              <w:t xml:space="preserve">Partial</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Crompton by zone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Crompton TOM awareness?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Break it down by zone</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Crompton NPS by city</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Crompton NPS score?</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Which city has the highest?</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Mixer Grinder cities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 own a Mixer Grinder?</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Which city has the highest?</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Recent purchases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Which appliance was most recent?</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Show breakdown by gender</w:t>
            </w:r>
          </w:p>
        </w:tc>
        <w:tc>
          <w:tcPr>
            <w:tcW w:type="dxa" w:w="1160"/>
            <w:tcBorders>
              <w:top w:val="single" w:color="CCCCCC" w:sz="1"/>
              <w:left w:val="single" w:color="CCCCCC" w:sz="1"/>
              <w:bottom w:val="single" w:color="CCCCCC" w:sz="1"/>
              <w:right w:val="single" w:color="CCCCCC" w:sz="1"/>
            </w:tcBorders>
            <w:shd w:fill="FEF3CD" w:val="clear"/>
            <w:tcMar>
              <w:top w:type="dxa" w:w="90"/>
              <w:left w:type="dxa" w:w="130"/>
              <w:bottom w:type="dxa" w:w="90"/>
              <w:right w:type="dxa" w:w="130"/>
            </w:tcMar>
            <w:vAlign w:val="center"/>
          </w:tcPr>
          <w:p>
            <w:pPr>
              <w:spacing w:after="0" w:before="0"/>
              <w:jc w:val="center"/>
            </w:pPr>
            <w:r>
              <w:rPr>
                <w:b/>
                <w:bCs/>
                <w:color w:val="9A6700"/>
                <w:sz w:val="20"/>
                <w:szCs w:val="20"/>
              </w:rPr>
              <w:t xml:space="preserve">Partial</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Ceiling fan by city</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 own a ceiling fan?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Which city has the highest?</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Brand comparison NPS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Compare Crompton and Bajaj</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Which is better in NPS?</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Crompton full funnel</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Show complete awareness funnel</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color w:val="2D3748"/>
                <w:sz w:val="19"/>
                <w:szCs w:val="19"/>
              </w:rPr>
              <w:t xml:space="preserve">—</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Bajaj brand pair</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Bajaj TOM awareness?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color w:val="2D3748"/>
                <w:sz w:val="19"/>
                <w:szCs w:val="19"/>
              </w:rPr>
              <w:t xml:space="preserve">Show Bajaj NPS score</w:t>
            </w:r>
          </w:p>
        </w:tc>
        <w:tc>
          <w:tcPr>
            <w:tcW w:type="dxa" w:w="11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w:t>
            </w:r>
          </w:p>
        </w:tc>
      </w:tr>
    </w:tbl>
    <w:p>
      <w:pPr>
        <w:spacing w:after="0" w:before="80"/>
      </w:pPr>
    </w:p>
    <w:p>
      <w:pPr>
        <w:spacing w:after="100" w:before="80"/>
        <w:jc w:val="left"/>
      </w:pPr>
      <w:r>
        <w:rPr>
          <w:color w:val="2D3748"/>
          <w:sz w:val="22"/>
          <w:szCs w:val="22"/>
        </w:rPr>
        <w:t xml:space="preserve">The two "Partial" results are both caused by the same routing issue (BUG-013): when a follow-up asks for a "gender breakdown", the keyword "gender" is inadvertently matched to the Ownership skill instead of Demographics. The SQL still runs and the data is valid — it just queries the wrong view. Fix is scheduled for next week.</w:t>
      </w:r>
    </w:p>
    <w:p>
      <w:pPr>
        <w:spacing w:after="0" w:before="200"/>
      </w:pPr>
    </w:p>
    <w:p>
      <w:pPr>
        <w:spacing w:after="0" w:before="0"/>
      </w:pPr>
      <w:r>
        <w:br w:type="page"/>
      </w:r>
    </w:p>
    <w:p>
      <w:pPr>
        <w:pStyle w:val="Heading1"/>
        <w:pBdr>
          <w:bottom w:val="single" w:color="1B3A6B" w:sz="6" w:space="4"/>
        </w:pBdr>
        <w:spacing w:after="160" w:before="320"/>
      </w:pPr>
      <w:r>
        <w:t xml:space="preserve">6.  Issues Found and Resolved</w:t>
      </w:r>
    </w:p>
    <w:p>
      <w:pPr>
        <w:spacing w:after="100" w:before="80"/>
        <w:jc w:val="left"/>
      </w:pPr>
      <w:r>
        <w:rPr>
          <w:color w:val="2D3748"/>
          <w:sz w:val="22"/>
          <w:szCs w:val="22"/>
        </w:rPr>
        <w:t xml:space="preserve">Below is a plain English summary of every significant issue encountered during the build. All but one have been fully resolved.</w:t>
      </w:r>
    </w:p>
    <w:p>
      <w:pPr>
        <w:spacing w:after="0" w:before="100"/>
      </w:pPr>
    </w:p>
    <w:p>
      <w:pPr>
        <w:pStyle w:val="Heading2"/>
        <w:spacing w:after="120" w:before="240"/>
      </w:pPr>
      <w:r>
        <w:t xml:space="preserve">Resolved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900"/>
        <w:gridCol w:w="2500"/>
        <w:gridCol w:w="1260"/>
      </w:tblGrid>
      <w:tr>
        <w:trPr>
          <w:tblHeader/>
        </w:trPr>
        <w:tc>
          <w:tcPr>
            <w:tcW w:type="dxa" w:w="7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ID</w:t>
            </w:r>
          </w:p>
        </w:tc>
        <w:tc>
          <w:tcPr>
            <w:tcW w:type="dxa" w:w="10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Found</w:t>
            </w:r>
          </w:p>
        </w:tc>
        <w:tc>
          <w:tcPr>
            <w:tcW w:type="dxa" w:w="39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What Happened</w:t>
            </w:r>
          </w:p>
        </w:tc>
        <w:tc>
          <w:tcPr>
            <w:tcW w:type="dxa" w:w="2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How It Was Fixed</w:t>
            </w:r>
          </w:p>
        </w:tc>
        <w:tc>
          <w:tcPr>
            <w:tcW w:type="dxa" w:w="12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001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Gemini hit its free daily quota — the app crashed on every query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Switched to Groq's Llama model, with Gemini as a backup fallback</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002</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Apr 10</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ETL script crashed on Windows due to special characters in print output</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Replaced special unicode characters with plain ASCII equivalents</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003</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Apr 10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File copy step failed with Windows-style paths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Replaced shell copy command with Python's built-in file copy functions</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006</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Asking 'show me their details' produced a nonsensical spaghetti line chart</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Added a guard: if result contains respondent IDs, skip all chart detection and display a table instead</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007</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Bar charts silently failed to render — just showed nothing</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Simplified the Plotly chart call and added an error fallback to table view</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008</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Every query was sending 6,500 tokens — hitting rate limits constantly</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Replaced full documentation injection with compact, skill-specific context (700 tokens average)</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009</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Schema Explorer page was invisible — not appearing in the sidebar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Updated to Streamlit's newer navigation system (st.navigation)</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010</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Database diagram was a flat, unresponsive scatter chart</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Replaced with Cytoscape.js — nodes are now draggable and hoverable</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011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Apr 11</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"What did people buy recently?" routed to the wrong skill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0" w:before="0"/>
            </w:pPr>
            <w:r>
              <w:rPr>
                <w:color w:val="2D3748"/>
                <w:sz w:val="18"/>
                <w:szCs w:val="18"/>
              </w:rPr>
              <w:t xml:space="preserve">Added verb form variations ("buy", "did buy", "have bought") to the purchase keyword list</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r>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012</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Apr 12</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Automated testing hit Groq's 100,000 daily token limit mid-session</w:t>
            </w:r>
          </w:p>
        </w:tc>
        <w:tc>
          <w:tcPr>
            <w:tcBorders>
              <w:top w:val="single" w:color="CCCCCC" w:sz="1"/>
              <w:left w:val="single" w:color="CCCCCC" w:sz="1"/>
              <w:bottom w:val="single" w:color="CCCCCC" w:sz="1"/>
              <w:right w:val="single" w:color="CCCCCC" w:sz="1"/>
            </w:tcBorders>
            <w:shd w:fill="F4F8FB" w:val="clear"/>
            <w:tcMar>
              <w:top w:type="dxa" w:w="70"/>
              <w:left w:type="dxa" w:w="100"/>
              <w:bottom w:type="dxa" w:w="70"/>
              <w:right w:type="dxa" w:w="100"/>
            </w:tcMar>
          </w:tcPr>
          <w:p>
            <w:pPr>
              <w:spacing w:after="0" w:before="0"/>
            </w:pPr>
            <w:r>
              <w:rPr>
                <w:color w:val="2D3748"/>
                <w:sz w:val="18"/>
                <w:szCs w:val="18"/>
              </w:rPr>
              <w:t xml:space="preserve">Added Gemini automatic fallback, switched to a smaller model variant</w:t>
            </w:r>
          </w:p>
        </w:tc>
        <w:tc>
          <w:tcPr>
            <w:tcW w:type="dxa" w:w="1260"/>
            <w:tcBorders>
              <w:top w:val="single" w:color="CCCCCC" w:sz="1"/>
              <w:left w:val="single" w:color="CCCCCC" w:sz="1"/>
              <w:bottom w:val="single" w:color="CCCCCC" w:sz="1"/>
              <w:right w:val="single" w:color="CCCCCC" w:sz="1"/>
            </w:tcBorders>
            <w:shd w:fill="D4EDDA" w:val="clear"/>
            <w:tcMar>
              <w:top w:type="dxa" w:w="90"/>
              <w:left w:type="dxa" w:w="130"/>
              <w:bottom w:type="dxa" w:w="90"/>
              <w:right w:type="dxa" w:w="130"/>
            </w:tcMar>
            <w:vAlign w:val="center"/>
          </w:tcPr>
          <w:p>
            <w:pPr>
              <w:spacing w:after="0" w:before="0"/>
              <w:jc w:val="center"/>
            </w:pPr>
            <w:r>
              <w:rPr>
                <w:b/>
                <w:bCs/>
                <w:color w:val="1A7F4B"/>
                <w:sz w:val="20"/>
                <w:szCs w:val="20"/>
              </w:rPr>
              <w:t xml:space="preserve">Fixed</w:t>
            </w:r>
          </w:p>
        </w:tc>
      </w:tr>
    </w:tbl>
    <w:p>
      <w:pPr>
        <w:spacing w:after="0" w:before="120"/>
      </w:pPr>
    </w:p>
    <w:p>
      <w:pPr>
        <w:pStyle w:val="Heading2"/>
        <w:spacing w:after="120" w:before="240"/>
      </w:pPr>
      <w:r>
        <w:t xml:space="preserve">Open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900"/>
        <w:gridCol w:w="2500"/>
        <w:gridCol w:w="1260"/>
      </w:tblGrid>
      <w:tr>
        <w:trPr>
          <w:tblHeader/>
        </w:trPr>
        <w:tc>
          <w:tcPr>
            <w:tcW w:type="dxa" w:w="7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ID</w:t>
            </w:r>
          </w:p>
        </w:tc>
        <w:tc>
          <w:tcPr>
            <w:tcW w:type="dxa" w:w="10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Found</w:t>
            </w:r>
          </w:p>
        </w:tc>
        <w:tc>
          <w:tcPr>
            <w:tcW w:type="dxa" w:w="39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What Happened</w:t>
            </w:r>
          </w:p>
        </w:tc>
        <w:tc>
          <w:tcPr>
            <w:tcW w:type="dxa" w:w="2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Planned Fix</w:t>
            </w:r>
          </w:p>
        </w:tc>
        <w:tc>
          <w:tcPr>
            <w:tcW w:type="dxa" w:w="12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EF9EB" w:val="clear"/>
            <w:tcMar>
              <w:top w:type="dxa" w:w="70"/>
              <w:left w:type="dxa" w:w="100"/>
              <w:bottom w:type="dxa" w:w="70"/>
              <w:right w:type="dxa" w:w="100"/>
            </w:tcMar>
          </w:tcPr>
          <w:p>
            <w:pPr>
              <w:spacing w:after="0" w:before="0"/>
            </w:pPr>
            <w:r>
              <w:rPr>
                <w:color w:val="2D3748"/>
                <w:sz w:val="18"/>
                <w:szCs w:val="18"/>
              </w:rPr>
              <w:t xml:space="preserve">013</w:t>
            </w:r>
          </w:p>
        </w:tc>
        <w:tc>
          <w:tcPr>
            <w:tcBorders>
              <w:top w:val="single" w:color="CCCCCC" w:sz="1"/>
              <w:left w:val="single" w:color="CCCCCC" w:sz="1"/>
              <w:bottom w:val="single" w:color="CCCCCC" w:sz="1"/>
              <w:right w:val="single" w:color="CCCCCC" w:sz="1"/>
            </w:tcBorders>
            <w:shd w:fill="FEF9EB" w:val="clear"/>
            <w:tcMar>
              <w:top w:type="dxa" w:w="70"/>
              <w:left w:type="dxa" w:w="100"/>
              <w:bottom w:type="dxa" w:w="70"/>
              <w:right w:type="dxa" w:w="100"/>
            </w:tcMar>
          </w:tcPr>
          <w:p>
            <w:pPr>
              <w:spacing w:after="0" w:before="0"/>
            </w:pPr>
            <w:r>
              <w:rPr>
                <w:color w:val="2D3748"/>
                <w:sz w:val="18"/>
                <w:szCs w:val="18"/>
              </w:rPr>
              <w:t xml:space="preserve">Apr 12</w:t>
            </w:r>
          </w:p>
        </w:tc>
        <w:tc>
          <w:tcPr>
            <w:tcBorders>
              <w:top w:val="single" w:color="CCCCCC" w:sz="1"/>
              <w:left w:val="single" w:color="CCCCCC" w:sz="1"/>
              <w:bottom w:val="single" w:color="CCCCCC" w:sz="1"/>
              <w:right w:val="single" w:color="CCCCCC" w:sz="1"/>
            </w:tcBorders>
            <w:shd w:fill="FEF9EB" w:val="clear"/>
            <w:tcMar>
              <w:top w:type="dxa" w:w="70"/>
              <w:left w:type="dxa" w:w="100"/>
              <w:bottom w:type="dxa" w:w="70"/>
              <w:right w:type="dxa" w:w="100"/>
            </w:tcMar>
          </w:tcPr>
          <w:p>
            <w:pPr>
              <w:spacing w:after="0" w:before="0"/>
            </w:pPr>
            <w:r>
              <w:rPr>
                <w:color w:val="2D3748"/>
                <w:sz w:val="18"/>
                <w:szCs w:val="18"/>
              </w:rPr>
              <w:t xml:space="preserve">Questions with "gender breakdown" route to the Ownership skill instead of Demographics — because the keyword list has an unintended overlap</w:t>
            </w:r>
          </w:p>
        </w:tc>
        <w:tc>
          <w:tcPr>
            <w:tcBorders>
              <w:top w:val="single" w:color="CCCCCC" w:sz="1"/>
              <w:left w:val="single" w:color="CCCCCC" w:sz="1"/>
              <w:bottom w:val="single" w:color="CCCCCC" w:sz="1"/>
              <w:right w:val="single" w:color="CCCCCC" w:sz="1"/>
            </w:tcBorders>
            <w:shd w:fill="FEF9EB" w:val="clear"/>
            <w:tcMar>
              <w:top w:type="dxa" w:w="70"/>
              <w:left w:type="dxa" w:w="100"/>
              <w:bottom w:type="dxa" w:w="70"/>
              <w:right w:type="dxa" w:w="100"/>
            </w:tcMar>
          </w:tcPr>
          <w:p>
            <w:pPr>
              <w:spacing w:after="0" w:before="0"/>
            </w:pPr>
            <w:r>
              <w:rPr>
                <w:color w:val="2D3748"/>
                <w:sz w:val="18"/>
                <w:szCs w:val="18"/>
              </w:rPr>
              <w:t xml:space="preserve">Add "gender" and "breakdown" as high-priority demographic keywords, review SKILL_PRIORITY ordering</w:t>
            </w:r>
          </w:p>
        </w:tc>
        <w:tc>
          <w:tcPr>
            <w:tcW w:type="dxa" w:w="1260"/>
            <w:tcBorders>
              <w:top w:val="single" w:color="CCCCCC" w:sz="1"/>
              <w:left w:val="single" w:color="CCCCCC" w:sz="1"/>
              <w:bottom w:val="single" w:color="CCCCCC" w:sz="1"/>
              <w:right w:val="single" w:color="CCCCCC" w:sz="1"/>
            </w:tcBorders>
            <w:shd w:fill="F8D7DA" w:val="clear"/>
            <w:tcMar>
              <w:top w:type="dxa" w:w="90"/>
              <w:left w:type="dxa" w:w="130"/>
              <w:bottom w:type="dxa" w:w="90"/>
              <w:right w:type="dxa" w:w="130"/>
            </w:tcMar>
            <w:vAlign w:val="center"/>
          </w:tcPr>
          <w:p>
            <w:pPr>
              <w:spacing w:after="0" w:before="0"/>
              <w:jc w:val="center"/>
            </w:pPr>
            <w:r>
              <w:rPr>
                <w:b/>
                <w:bCs/>
                <w:color w:val="C0392B"/>
                <w:sz w:val="20"/>
                <w:szCs w:val="20"/>
              </w:rPr>
              <w:t xml:space="preserve">Open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B" w:val="clear"/>
            <w:tcMar>
              <w:top w:type="dxa" w:w="120"/>
              <w:left w:type="dxa" w:w="200"/>
              <w:bottom w:type="dxa" w:w="120"/>
              <w:right w:type="dxa" w:w="200"/>
            </w:tcMar>
          </w:tcPr>
          <w:p>
            <w:pPr>
              <w:spacing w:after="40" w:before="40"/>
            </w:pPr>
            <w:r>
              <w:rPr>
                <w:b/>
                <w:bCs/>
                <w:color w:val="1B3A6B"/>
                <w:sz w:val="20"/>
                <w:szCs w:val="20"/>
              </w:rPr>
              <w:t xml:space="preserve">Note:  </w:t>
            </w:r>
            <w:r>
              <w:rPr>
                <w:color w:val="2D3748"/>
                <w:sz w:val="20"/>
                <w:szCs w:val="20"/>
              </w:rPr>
              <w:t xml:space="preserve">The open issue affects a narrow class of follow-up questions containing the word 'breakdown' or 'gender' without clearer context. The underlying SQL still runs correctly — it queries ownership data instead of respondent profiles. The numbers are wrong for that specific question type, not broken outright.</w:t>
            </w:r>
          </w:p>
        </w:tc>
      </w:tr>
    </w:tbl>
    <w:p>
      <w:pPr>
        <w:spacing w:after="0" w:before="200"/>
      </w:pPr>
    </w:p>
    <w:p>
      <w:pPr>
        <w:spacing w:after="0" w:before="0"/>
      </w:pPr>
      <w:r>
        <w:br w:type="page"/>
      </w:r>
    </w:p>
    <w:p>
      <w:pPr>
        <w:pStyle w:val="Heading1"/>
        <w:pBdr>
          <w:bottom w:val="single" w:color="1B3A6B" w:sz="6" w:space="4"/>
        </w:pBdr>
        <w:spacing w:after="160" w:before="320"/>
      </w:pPr>
      <w:r>
        <w:t xml:space="preserve">7.  What Is Coming Next Week</w:t>
      </w:r>
    </w:p>
    <w:p>
      <w:pPr>
        <w:pStyle w:val="Heading2"/>
        <w:spacing w:after="120" w:before="240"/>
      </w:pPr>
      <w:r>
        <w:t xml:space="preserve">The Current Limitation: A Static Data Fetcher</w:t>
      </w:r>
    </w:p>
    <w:p>
      <w:pPr>
        <w:spacing w:after="100" w:before="80"/>
        <w:jc w:val="left"/>
      </w:pPr>
      <w:r>
        <w:rPr>
          <w:color w:val="2D3748"/>
          <w:sz w:val="22"/>
          <w:szCs w:val="22"/>
        </w:rPr>
        <w:t xml:space="preserve">To be honest about where the system stands right now: OxData is a static data fetcher. You ask it a question, it runs a query, and returns a number or a flat table. That is genuinely useful — but it has two problems that make it hard to actually use for research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Borders>
              <w:top w:val="single" w:color="CCCCCC" w:sz="1"/>
              <w:left w:val="single" w:color="CCCCCC" w:sz="1"/>
              <w:bottom w:val="single" w:color="CCCCCC" w:sz="1"/>
              <w:right w:val="single" w:color="CCCCCC" w:sz="1"/>
            </w:tcBorders>
            <w:shd w:fill="FEECEC" w:val="clear"/>
            <w:tcMar>
              <w:top w:type="dxa" w:w="80"/>
              <w:left w:type="dxa" w:w="130"/>
              <w:bottom w:type="dxa" w:w="80"/>
              <w:right w:type="dxa" w:w="130"/>
            </w:tcMar>
          </w:tcPr>
          <w:p>
            <w:pPr>
              <w:spacing w:after="60" w:before="60"/>
              <w:jc w:val="center"/>
            </w:pPr>
            <w:r>
              <w:rPr>
                <w:b/>
                <w:bCs/>
                <w:color w:val="C0392B"/>
                <w:sz w:val="22"/>
                <w:szCs w:val="22"/>
              </w:rPr>
              <w:t xml:space="preserve">Problem 1 — Outputs are too short to be useful</w:t>
            </w:r>
          </w:p>
        </w:tc>
        <w:tc>
          <w:tcPr>
            <w:tcBorders>
              <w:top w:val="single" w:color="CCCCCC" w:sz="1"/>
              <w:left w:val="single" w:color="CCCCCC" w:sz="1"/>
              <w:bottom w:val="single" w:color="CCCCCC" w:sz="1"/>
              <w:right w:val="single" w:color="CCCCCC" w:sz="1"/>
            </w:tcBorders>
            <w:shd w:fill="FEECEC" w:val="clear"/>
            <w:tcMar>
              <w:top w:type="dxa" w:w="80"/>
              <w:left w:type="dxa" w:w="130"/>
              <w:bottom w:type="dxa" w:w="80"/>
              <w:right w:type="dxa" w:w="130"/>
            </w:tcMar>
          </w:tcPr>
          <w:p>
            <w:pPr>
              <w:spacing w:after="60" w:before="60"/>
              <w:jc w:val="center"/>
            </w:pPr>
            <w:r>
              <w:rPr>
                <w:b/>
                <w:bCs/>
                <w:color w:val="C0392B"/>
                <w:sz w:val="22"/>
                <w:szCs w:val="22"/>
              </w:rPr>
              <w:t xml:space="preserve">Problem 2 — No comparison context</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20" w:before="40"/>
            </w:pPr>
            <w:r>
              <w:rPr>
                <w:color w:val="2D3748"/>
                <w:sz w:val="20"/>
                <w:szCs w:val="20"/>
              </w:rPr>
              <w:t xml:space="preserve">Ask "What is Crompton's NPS?" and the system returns:</w:t>
            </w:r>
          </w:p>
          <w:p>
            <w:pPr>
              <w:spacing w:after="20" w:before="20"/>
            </w:pPr>
            <w:r>
              <w:rPr>
                <w:rFonts w:ascii="Courier New" w:cs="Courier New" w:eastAsia="Courier New" w:hAnsi="Courier New"/>
                <w:b/>
                <w:bCs/>
                <w:color w:val="1B3A6B"/>
                <w:sz w:val="20"/>
                <w:szCs w:val="20"/>
              </w:rPr>
              <w:t xml:space="preserve">NPS: 64.0  |  Total ratings: 1,590</w:t>
            </w:r>
          </w:p>
          <w:p>
            <w:pPr>
              <w:spacing w:after="40" w:before="20"/>
            </w:pPr>
            <w:r>
              <w:rPr>
                <w:color w:val="2D3748"/>
                <w:sz w:val="20"/>
                <w:szCs w:val="20"/>
              </w:rPr>
              <w:t xml:space="preserve">That is it. No promoter/detractor breakdown. No city split. No way to tell if 64.0 is good or bad relative to anything. Just one number, returned and forgotten.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20" w:before="40"/>
            </w:pPr>
            <w:r>
              <w:rPr>
                <w:color w:val="2D3748"/>
                <w:sz w:val="20"/>
                <w:szCs w:val="20"/>
              </w:rPr>
              <w:t xml:space="preserve">The system answers one question at a time, in isolation. It cannot natively do what a researcher actually needs:</w:t>
            </w:r>
          </w:p>
          <w:p>
            <w:pPr>
              <w:spacing w:after="10" w:before="10"/>
              <w:ind w:left="120"/>
            </w:pPr>
            <w:r>
              <w:rPr>
                <w:color w:val="2D3748"/>
                <w:sz w:val="20"/>
                <w:szCs w:val="20"/>
              </w:rPr>
              <w:t xml:space="preserve">• Crompton vs Bajaj vs Havells — side by side on NPS</w:t>
            </w:r>
          </w:p>
          <w:p>
            <w:pPr>
              <w:spacing w:after="10" w:before="10"/>
              <w:ind w:left="120"/>
            </w:pPr>
            <w:r>
              <w:rPr>
                <w:color w:val="2D3748"/>
                <w:sz w:val="20"/>
                <w:szCs w:val="20"/>
              </w:rPr>
              <w:t xml:space="preserve">• TOM → Spontaneous → Aided → NPS in one funnel view</w:t>
            </w:r>
          </w:p>
          <w:p>
            <w:pPr>
              <w:spacing w:after="40" w:before="10"/>
              <w:ind w:left="120"/>
            </w:pPr>
            <w:r>
              <w:rPr>
                <w:color w:val="2D3748"/>
                <w:sz w:val="20"/>
                <w:szCs w:val="20"/>
              </w:rPr>
              <w:t xml:space="preserve">• Ownership penetration ranked across all 14 appliances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B" w:val="clear"/>
            <w:tcMar>
              <w:top w:type="dxa" w:w="120"/>
              <w:left w:type="dxa" w:w="200"/>
              <w:bottom w:type="dxa" w:w="120"/>
              <w:right w:type="dxa" w:w="200"/>
            </w:tcMar>
          </w:tcPr>
          <w:p>
            <w:pPr>
              <w:spacing w:after="40" w:before="40"/>
            </w:pPr>
            <w:r>
              <w:rPr>
                <w:b/>
                <w:bCs/>
                <w:color w:val="1B3A6B"/>
                <w:sz w:val="20"/>
                <w:szCs w:val="20"/>
              </w:rPr>
              <w:t xml:space="preserve">Why charts keep failing:  </w:t>
            </w:r>
            <w:r>
              <w:rPr>
                <w:color w:val="2D3748"/>
                <w:sz w:val="20"/>
                <w:szCs w:val="20"/>
              </w:rPr>
              <w:t xml:space="preserve">The existing chart rendering logic tries to guess what to draw after seeing the SQL result — bar chart? line chart? table? This guess-work is fragile. When the result has an unexpected shape (too many columns, mixed types, or multi-metric rows), Plotly either renders the wrong chart or renders nothing silently. There is no deliberate chart decision being made — it is just pattern matching on output structure.</w:t>
            </w:r>
          </w:p>
        </w:tc>
      </w:tr>
    </w:tbl>
    <w:p>
      <w:pPr>
        <w:spacing w:after="0" w:before="120"/>
      </w:pPr>
    </w:p>
    <w:p>
      <w:pPr>
        <w:pStyle w:val="Heading2"/>
        <w:spacing w:after="120" w:before="240"/>
      </w:pPr>
      <w:r>
        <w:t xml:space="preserve">What Is Being Built Next: Output Testing + Visual Integration</w:t>
      </w:r>
    </w:p>
    <w:p>
      <w:pPr>
        <w:spacing w:after="100" w:before="80"/>
        <w:jc w:val="left"/>
      </w:pPr>
      <w:r>
        <w:rPr>
          <w:color w:val="2D3748"/>
          <w:sz w:val="22"/>
          <w:szCs w:val="22"/>
        </w:rPr>
        <w:t xml:space="preserve">The next phase of work has two parallel tracks. The first is testing how complete and comparable the outputs actually are — not just whether the SQL runs, but whether the answer is rich enough to be useful. The second is replacing the fragile auto-detection chart system with an intentional visual layer that knows what to draw before it draws it.</w:t>
      </w:r>
    </w:p>
    <w:p>
      <w:pPr>
        <w:spacing w:after="0" w:before="100"/>
      </w:pPr>
    </w:p>
    <w:p>
      <w:pPr>
        <w:pStyle w:val="Heading3"/>
        <w:spacing w:after="80" w:before="160"/>
      </w:pPr>
      <w:r>
        <w:t xml:space="preserve">Track 1 — Output Quality Testing</w:t>
      </w:r>
    </w:p>
    <w:p>
      <w:pPr>
        <w:spacing w:after="100" w:before="80"/>
        <w:jc w:val="left"/>
      </w:pPr>
      <w:r>
        <w:rPr>
          <w:color w:val="2D3748"/>
          <w:sz w:val="22"/>
          <w:szCs w:val="22"/>
        </w:rPr>
        <w:t xml:space="preserve">Right now, test cases only check whether the SQL executed. They do not check whether the output is long enough, covers the right columns, or supports a meaningful comparison. The next round of testing will fix this.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Test Type</w:t>
            </w:r>
          </w:p>
        </w:tc>
        <w:tc>
          <w:tcPr>
            <w:tcW w:type="dxa" w:w="37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What It Checks</w:t>
            </w:r>
          </w:p>
        </w:tc>
        <w:tc>
          <w:tcPr>
            <w:tcW w:type="dxa" w:w="2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Example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Output completeness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Does the result include all the columns needed for the question — count, percentage, brand name, and a breakdown dimension?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NPS query returns: brand, promoters %, detractors %, NPS — not just the final score</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Comparison readiness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When asked about multiple brands, does the result return one row per brand so they can be placed side by side — not one query per brand?</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"Compare Crompton, Bajaj, Havells" returns 3 rows in one table, sortable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Funnel completeness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Awareness funnel queries must return all 3 stages (TOM, SPONT, AIDED) in one result, not require 3 separate questions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Crompton funnel: TOM 17.1% → SPONT 57.4% → AIDED 75.5% in one row</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Ranking coverage</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For ranked outputs (appliance ownership, purchase rank), does the result include all relevant items rather than just the top 1?</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Kitchen ownership returns all 14 appliances sorted by penetration %</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Contextual denominators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Does the percentage use the right base — total respondents, or just those who answered that question?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NPS % uses count of raters, not 6,631 respondents</w:t>
            </w:r>
          </w:p>
        </w:tc>
      </w:tr>
    </w:tbl>
    <w:p>
      <w:pPr>
        <w:spacing w:after="0" w:before="80"/>
      </w:pPr>
    </w:p>
    <w:p>
      <w:pPr>
        <w:spacing w:after="100" w:before="80"/>
        <w:jc w:val="left"/>
      </w:pPr>
      <w:r>
        <w:rPr>
          <w:color w:val="2D3748"/>
          <w:sz w:val="22"/>
          <w:szCs w:val="22"/>
        </w:rPr>
        <w:t xml:space="preserve">These test cases will also produce a set of reference outputs — verified, correct, complete answers for ~50 common research questions. Those reference outputs become the benchmark: if the system ever returns something shorter or less complete, that is a regression, not a style preference.</w:t>
      </w:r>
    </w:p>
    <w:p>
      <w:pPr>
        <w:spacing w:after="0" w:before="120"/>
      </w:pPr>
    </w:p>
    <w:p>
      <w:pPr>
        <w:pStyle w:val="Heading3"/>
        <w:spacing w:after="80" w:before="160"/>
      </w:pPr>
      <w:r>
        <w:t xml:space="preserve">Track 2 — Intentional Visual Integration</w:t>
      </w:r>
    </w:p>
    <w:p>
      <w:pPr>
        <w:spacing w:after="100" w:before="80"/>
        <w:jc w:val="left"/>
      </w:pPr>
      <w:r>
        <w:rPr>
          <w:color w:val="2D3748"/>
          <w:sz w:val="22"/>
          <w:szCs w:val="22"/>
        </w:rPr>
        <w:t xml:space="preserve">The chart system is being redesigned from scratch. Instead of trying to guess what to draw from the SQL output shape, the new approach decides the chart type at the routing stage — before the query runs — based on what kind of question was asked. This means the visualisation is always appropriate and never silent.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60"/>
        <w:gridCol w:w="2400"/>
      </w:tblGrid>
      <w:tr>
        <w:trPr>
          <w:tblHeader/>
        </w:trPr>
        <w:tc>
          <w:tcPr>
            <w:tcW w:type="dxa" w:w="24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Question Pattern</w:t>
            </w:r>
          </w:p>
        </w:tc>
        <w:tc>
          <w:tcPr>
            <w:tcW w:type="dxa" w:w="22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Chart Type</w:t>
            </w:r>
          </w:p>
        </w:tc>
        <w:tc>
          <w:tcPr>
            <w:tcW w:type="dxa" w:w="23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Why This Works</w:t>
            </w:r>
          </w:p>
        </w:tc>
        <w:tc>
          <w:tcPr>
            <w:tcW w:type="dxa" w:w="24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Current Status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Single metric — one brand</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Metric card + mini bar (promoters vs detractors)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No ambiguity on what to show — it is a single value with decomposition</w:t>
            </w:r>
          </w:p>
        </w:tc>
        <w:tc>
          <w:tcPr>
            <w:tcBorders>
              <w:top w:val="single" w:color="CCCCCC" w:sz="1"/>
              <w:left w:val="single" w:color="CCCCCC" w:sz="1"/>
              <w:bottom w:val="single" w:color="CCCCCC" w:sz="1"/>
              <w:right w:val="single" w:color="CCCCCC" w:sz="1"/>
            </w:tcBorders>
            <w:shd w:fill="FEF3CD" w:val="clear"/>
            <w:tcMar>
              <w:top w:type="dxa" w:w="80"/>
              <w:left w:type="dxa" w:w="110"/>
              <w:bottom w:type="dxa" w:w="80"/>
              <w:right w:type="dxa" w:w="110"/>
            </w:tcMar>
          </w:tcPr>
          <w:p>
            <w:pPr>
              <w:spacing w:after="0" w:before="0"/>
            </w:pPr>
            <w:r>
              <w:rPr>
                <w:i/>
                <w:iCs/>
                <w:color w:val="9A6700"/>
                <w:sz w:val="18"/>
                <w:szCs w:val="18"/>
              </w:rPr>
              <w:t xml:space="preserve">Fragile — sometimes shows nothing</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Brand comparison (2+ brands)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Grouped horizontal bar chart — one bar per brand</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Side-by-side makes the ranking immediately readable; no mental arithmetic needed</w:t>
            </w:r>
          </w:p>
        </w:tc>
        <w:tc>
          <w:tcPr>
            <w:tcBorders>
              <w:top w:val="single" w:color="CCCCCC" w:sz="1"/>
              <w:left w:val="single" w:color="CCCCCC" w:sz="1"/>
              <w:bottom w:val="single" w:color="CCCCCC" w:sz="1"/>
              <w:right w:val="single" w:color="CCCCCC" w:sz="1"/>
            </w:tcBorders>
            <w:shd w:fill="FEF3CD" w:val="clear"/>
            <w:tcMar>
              <w:top w:type="dxa" w:w="80"/>
              <w:left w:type="dxa" w:w="110"/>
              <w:bottom w:type="dxa" w:w="80"/>
              <w:right w:type="dxa" w:w="110"/>
            </w:tcMar>
          </w:tcPr>
          <w:p>
            <w:pPr>
              <w:spacing w:after="0" w:before="0"/>
            </w:pPr>
            <w:r>
              <w:rPr>
                <w:i/>
                <w:iCs/>
                <w:color w:val="9A6700"/>
                <w:sz w:val="18"/>
                <w:szCs w:val="18"/>
              </w:rPr>
              <w:t xml:space="preserve">Not implemented — each brand returned separately</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Awareness funnel</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Funnel chart — 3 stages narrowing left to right</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Shows conversion drop-off visually — TOM is always narrowest, AIDED widest</w:t>
            </w:r>
          </w:p>
        </w:tc>
        <w:tc>
          <w:tcPr>
            <w:tcBorders>
              <w:top w:val="single" w:color="CCCCCC" w:sz="1"/>
              <w:left w:val="single" w:color="CCCCCC" w:sz="1"/>
              <w:bottom w:val="single" w:color="CCCCCC" w:sz="1"/>
              <w:right w:val="single" w:color="CCCCCC" w:sz="1"/>
            </w:tcBorders>
            <w:shd w:fill="FEF3CD" w:val="clear"/>
            <w:tcMar>
              <w:top w:type="dxa" w:w="80"/>
              <w:left w:type="dxa" w:w="110"/>
              <w:bottom w:type="dxa" w:w="80"/>
              <w:right w:type="dxa" w:w="110"/>
            </w:tcMar>
          </w:tcPr>
          <w:p>
            <w:pPr>
              <w:spacing w:after="0" w:before="0"/>
            </w:pPr>
            <w:r>
              <w:rPr>
                <w:i/>
                <w:iCs/>
                <w:color w:val="9A6700"/>
                <w:sz w:val="18"/>
                <w:szCs w:val="18"/>
              </w:rPr>
              <w:t xml:space="preserve">Not implemented</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Appliance ownership list</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Ranked bar chart — all appliances, descending</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Penetration % works as a bar length directly; 14 items fit in a single readable chart</w:t>
            </w:r>
          </w:p>
        </w:tc>
        <w:tc>
          <w:tcPr>
            <w:tcBorders>
              <w:top w:val="single" w:color="CCCCCC" w:sz="1"/>
              <w:left w:val="single" w:color="CCCCCC" w:sz="1"/>
              <w:bottom w:val="single" w:color="CCCCCC" w:sz="1"/>
              <w:right w:val="single" w:color="CCCCCC" w:sz="1"/>
            </w:tcBorders>
            <w:shd w:fill="FEF3CD" w:val="clear"/>
            <w:tcMar>
              <w:top w:type="dxa" w:w="80"/>
              <w:left w:type="dxa" w:w="110"/>
              <w:bottom w:type="dxa" w:w="80"/>
              <w:right w:type="dxa" w:w="110"/>
            </w:tcMar>
          </w:tcPr>
          <w:p>
            <w:pPr>
              <w:spacing w:after="0" w:before="0"/>
            </w:pPr>
            <w:r>
              <w:rPr>
                <w:i/>
                <w:iCs/>
                <w:color w:val="9A6700"/>
                <w:sz w:val="18"/>
                <w:szCs w:val="18"/>
              </w:rPr>
              <w:t xml:space="preserve">Works sometimes — fails on multi-column results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City / zone breakdown</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Sorted horizontal bar chart with colour by zone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Geographic distribution is easier to read in a ranked list than on a map</w:t>
            </w:r>
          </w:p>
        </w:tc>
        <w:tc>
          <w:tcPr>
            <w:tcBorders>
              <w:top w:val="single" w:color="CCCCCC" w:sz="1"/>
              <w:left w:val="single" w:color="CCCCCC" w:sz="1"/>
              <w:bottom w:val="single" w:color="CCCCCC" w:sz="1"/>
              <w:right w:val="single" w:color="CCCCCC" w:sz="1"/>
            </w:tcBorders>
            <w:shd w:fill="FEF3CD" w:val="clear"/>
            <w:tcMar>
              <w:top w:type="dxa" w:w="80"/>
              <w:left w:type="dxa" w:w="110"/>
              <w:bottom w:type="dxa" w:w="80"/>
              <w:right w:type="dxa" w:w="110"/>
            </w:tcMar>
          </w:tcPr>
          <w:p>
            <w:pPr>
              <w:spacing w:after="0" w:before="0"/>
            </w:pPr>
            <w:r>
              <w:rPr>
                <w:i/>
                <w:iCs/>
                <w:color w:val="9A6700"/>
                <w:sz w:val="18"/>
                <w:szCs w:val="18"/>
              </w:rPr>
              <w:t xml:space="preserve">Partially working</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Time trend (monthly)</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Line chart — months on x-axis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Fieldwork ran April–June; trends by month show data collection patterns</w:t>
            </w:r>
          </w:p>
        </w:tc>
        <w:tc>
          <w:tcPr>
            <w:tcBorders>
              <w:top w:val="single" w:color="CCCCCC" w:sz="1"/>
              <w:left w:val="single" w:color="CCCCCC" w:sz="1"/>
              <w:bottom w:val="single" w:color="CCCCCC" w:sz="1"/>
              <w:right w:val="single" w:color="CCCCCC" w:sz="1"/>
            </w:tcBorders>
            <w:shd w:fill="FEF3CD" w:val="clear"/>
            <w:tcMar>
              <w:top w:type="dxa" w:w="80"/>
              <w:left w:type="dxa" w:w="110"/>
              <w:bottom w:type="dxa" w:w="80"/>
              <w:right w:type="dxa" w:w="110"/>
            </w:tcMar>
          </w:tcPr>
          <w:p>
            <w:pPr>
              <w:spacing w:after="0" w:before="0"/>
            </w:pPr>
            <w:r>
              <w:rPr>
                <w:i/>
                <w:iCs/>
                <w:color w:val="9A6700"/>
                <w:sz w:val="18"/>
                <w:szCs w:val="18"/>
              </w:rPr>
              <w:t xml:space="preserve">Works only if date column named exactly right</w:t>
            </w:r>
          </w:p>
        </w:tc>
      </w:tr>
    </w:tbl>
    <w:p>
      <w:pPr>
        <w:spacing w:after="0" w:before="100"/>
      </w:pPr>
    </w:p>
    <w:p>
      <w:pPr>
        <w:spacing w:after="100" w:before="80"/>
        <w:jc w:val="left"/>
      </w:pPr>
      <w:r>
        <w:rPr>
          <w:color w:val="2D3748"/>
          <w:sz w:val="22"/>
          <w:szCs w:val="22"/>
        </w:rPr>
        <w:t xml:space="preserve">The key change: the skill router will now also return a chart_type alongside the skill name. By the time the SQL result comes back, the system already knows what it is going to draw — it does not need to inspect the data and guess. If a question matches the NPS skill AND contains multiple brand names, chart_type = 'grouped_bar'. If it matches the awareness skill for a single brand, chart_type = 'funnel'. This decision is made in the routing step, not after the fact.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7F2" w:val="clear"/>
            <w:tcMar>
              <w:top w:type="dxa" w:w="120"/>
              <w:left w:type="dxa" w:w="200"/>
              <w:bottom w:type="dxa" w:w="120"/>
              <w:right w:type="dxa" w:w="200"/>
            </w:tcMar>
          </w:tcPr>
          <w:p>
            <w:pPr>
              <w:spacing w:after="40" w:before="40"/>
            </w:pPr>
            <w:r>
              <w:rPr>
                <w:b/>
                <w:bCs/>
                <w:color w:val="1B3A6B"/>
                <w:sz w:val="20"/>
                <w:szCs w:val="20"/>
              </w:rPr>
              <w:t xml:space="preserve">Concrete target:  </w:t>
            </w:r>
            <w:r>
              <w:rPr>
                <w:color w:val="2D3748"/>
                <w:sz w:val="20"/>
                <w:szCs w:val="20"/>
              </w:rPr>
              <w:t xml:space="preserve">After this work is done, asking 'Compare Crompton, Bajaj, and Havells on NPS' should return a single horizontal bar chart with three bars, labelled, sorted by NPS score, with promoter/detractor percentages shown as hover labels — without any manual intervention and without falling back to a plain table.</w:t>
            </w:r>
          </w:p>
        </w:tc>
      </w:tr>
    </w:tbl>
    <w:p>
      <w:pPr>
        <w:spacing w:after="0" w:before="120"/>
      </w:pPr>
    </w:p>
    <w:p>
      <w:pPr>
        <w:pStyle w:val="Heading2"/>
        <w:spacing w:after="120" w:before="240"/>
      </w:pPr>
      <w:r>
        <w:t xml:space="preserve">Planned Work Items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660"/>
        <w:gridCol w:w="1900"/>
      </w:tblGrid>
      <w:tr>
        <w:trPr>
          <w:tblHeader/>
        </w:trPr>
        <w:tc>
          <w:tcPr>
            <w:tcW w:type="dxa" w:w="7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t>
            </w:r>
          </w:p>
        </w:tc>
        <w:tc>
          <w:tcPr>
            <w:tcW w:type="dxa" w:w="31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Task</w:t>
            </w:r>
          </w:p>
        </w:tc>
        <w:tc>
          <w:tcPr>
            <w:tcW w:type="dxa" w:w="36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Why It Comes First</w:t>
            </w:r>
          </w:p>
        </w:tc>
        <w:tc>
          <w:tcPr>
            <w:tcW w:type="dxa" w:w="19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Effort</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Fix BUG-013 — 'gender breakdown' routing conflict</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Small fix, blocks a class of common research questions. One config file change.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~2 hours</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2</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Output completeness test suite — 50 reference questions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Establishes what 'correct and complete' actually means before building charts on top. A chart drawn from a short or partial result is worse than no chart.</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2 days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Chart type annotation in the skill router</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Adds chart_type to the routing output — this is the foundation that makes all subsequent chart work deterministic rather than guesswork.</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1 day</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4</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Grouped bar chart for multi-brand comparisons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The most common research question type. Crompton vs Bajaj vs Havells side by side on NPS, TOM, or ownership. One correct chart replaces three separate queries.</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1–2 days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Awareness funnel chart (per brand)</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TOM → Spontaneous → Aided in one visual. Right now this requires the user to run three queries and manually compare percentages.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1 day</w:t>
            </w:r>
          </w:p>
        </w:tc>
      </w:tr>
      <w:tr>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bCs/>
                <w:color w:val="2D3748"/>
                <w:sz w:val="19"/>
                <w:szCs w:val="19"/>
              </w:rPr>
              <w:t xml:space="preserve">6</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Ranked appliance ownership chart (full list)</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All 14 kitchen appliances or 17 room appliances in one descending bar chart. Currently the system returns a table — the chart sometimes renders, sometimes does not.</w:t>
            </w:r>
          </w:p>
        </w:tc>
        <w:tc>
          <w:tcPr>
            <w:tcBorders>
              <w:top w:val="single" w:color="CCCCCC" w:sz="1"/>
              <w:left w:val="single" w:color="CCCCCC" w:sz="1"/>
              <w:bottom w:val="single" w:color="CCCCCC" w:sz="1"/>
              <w:right w:val="single" w:color="CCCCCC" w:sz="1"/>
            </w:tcBorders>
            <w:shd w:fill="F4F8FB" w:val="clear"/>
            <w:tcMar>
              <w:top w:type="dxa" w:w="80"/>
              <w:left w:type="dxa" w:w="110"/>
              <w:bottom w:type="dxa" w:w="80"/>
              <w:right w:type="dxa" w:w="110"/>
            </w:tcMar>
          </w:tcPr>
          <w:p>
            <w:pPr>
              <w:spacing w:after="0" w:before="0"/>
            </w:pPr>
            <w:r>
              <w:rPr>
                <w:b w:val="false"/>
                <w:bCs w:val="false"/>
                <w:color w:val="2D3748"/>
                <w:sz w:val="19"/>
                <w:szCs w:val="19"/>
              </w:rPr>
              <w:t xml:space="preserve">1 day</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bCs/>
                <w:color w:val="2D3748"/>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End-to-end visual regression test</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Run all 50 reference questions, check that the correct chart type was selected, and that the chart actually renders without falling back to a table.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b w:val="false"/>
                <w:bCs w:val="false"/>
                <w:color w:val="2D3748"/>
                <w:sz w:val="19"/>
                <w:szCs w:val="19"/>
              </w:rPr>
              <w:t xml:space="preserve">1 day</w:t>
            </w:r>
          </w:p>
        </w:tc>
      </w:tr>
    </w:tbl>
    <w:p>
      <w:pPr>
        <w:spacing w:after="0" w:before="120"/>
      </w:pPr>
    </w:p>
    <w:p>
      <w:pPr>
        <w:pStyle w:val="Heading2"/>
        <w:spacing w:after="120" w:before="240"/>
      </w:pPr>
      <w:r>
        <w:t xml:space="preserve">What Success Looks Like</w:t>
      </w:r>
    </w:p>
    <w:p>
      <w:pPr>
        <w:spacing w:after="100" w:before="80"/>
        <w:jc w:val="left"/>
      </w:pPr>
      <w:r>
        <w:rPr>
          <w:color w:val="2D3748"/>
          <w:sz w:val="22"/>
          <w:szCs w:val="22"/>
        </w:rPr>
        <w:t xml:space="preserve">By end of next week, the system should be able to handle the following questions end-to-end — correct SQL, complete output, and the right chart rendered first time, without fallback:</w:t>
      </w:r>
    </w:p>
    <w:p>
      <w:pPr>
        <w:spacing w:after="0" w:before="80"/>
      </w:pPr>
    </w:p>
    <w:p>
      <w:pPr>
        <w:pStyle w:val="ListParagraph"/>
        <w:numPr>
          <w:ilvl w:val="0"/>
          <w:numId w:val="2"/>
        </w:numPr>
        <w:spacing w:after="40" w:before="40"/>
      </w:pPr>
      <w:r>
        <w:rPr>
          <w:color w:val="2D3748"/>
          <w:sz w:val="22"/>
          <w:szCs w:val="22"/>
        </w:rPr>
        <w:t xml:space="preserve">"Compare Crompton, Bajaj, Usha, and Havells on NPS" → grouped bar chart, 4 bars, sorted</w:t>
      </w:r>
    </w:p>
    <w:p>
      <w:pPr>
        <w:pStyle w:val="ListParagraph"/>
        <w:numPr>
          <w:ilvl w:val="0"/>
          <w:numId w:val="2"/>
        </w:numPr>
        <w:spacing w:after="40" w:before="40"/>
      </w:pPr>
      <w:r>
        <w:rPr>
          <w:color w:val="2D3748"/>
          <w:sz w:val="22"/>
          <w:szCs w:val="22"/>
        </w:rPr>
        <w:t xml:space="preserve">"Show the full awareness funnel for Crompton" → funnel chart: TOM 17.1% → SPONT 57.4% → AIDED 75.5%</w:t>
      </w:r>
    </w:p>
    <w:p>
      <w:pPr>
        <w:pStyle w:val="ListParagraph"/>
        <w:numPr>
          <w:ilvl w:val="0"/>
          <w:numId w:val="2"/>
        </w:numPr>
        <w:spacing w:after="40" w:before="40"/>
      </w:pPr>
      <w:r>
        <w:rPr>
          <w:color w:val="2D3748"/>
          <w:sz w:val="22"/>
          <w:szCs w:val="22"/>
        </w:rPr>
        <w:t xml:space="preserve">"Which kitchen appliances have the highest ownership?" → ranked bar chart, all 14 appliances</w:t>
      </w:r>
    </w:p>
    <w:p>
      <w:pPr>
        <w:pStyle w:val="ListParagraph"/>
        <w:numPr>
          <w:ilvl w:val="0"/>
          <w:numId w:val="2"/>
        </w:numPr>
        <w:spacing w:after="40" w:before="40"/>
      </w:pPr>
      <w:r>
        <w:rPr>
          <w:color w:val="2D3748"/>
          <w:sz w:val="22"/>
          <w:szCs w:val="22"/>
        </w:rPr>
        <w:t xml:space="preserve">"Show gender breakdown of respondents by zone" → grouped bar, 4 zones × 2 genders</w:t>
      </w:r>
    </w:p>
    <w:p>
      <w:pPr>
        <w:pStyle w:val="ListParagraph"/>
        <w:numPr>
          <w:ilvl w:val="0"/>
          <w:numId w:val="2"/>
        </w:numPr>
        <w:spacing w:after="40" w:before="40"/>
      </w:pPr>
      <w:r>
        <w:rPr>
          <w:color w:val="2D3748"/>
          <w:sz w:val="22"/>
          <w:szCs w:val="22"/>
        </w:rPr>
        <w:t xml:space="preserve">"What did people buy most recently, by city?" → heatmap or grouped bar — city × appliance</w:t>
      </w:r>
    </w:p>
    <w:p>
      <w:pPr>
        <w:spacing w:after="0" w:before="80"/>
      </w:pPr>
    </w:p>
    <w:p>
      <w:pPr>
        <w:spacing w:after="100" w:before="80"/>
        <w:jc w:val="left"/>
      </w:pPr>
      <w:r>
        <w:rPr>
          <w:color w:val="2D3748"/>
          <w:sz w:val="22"/>
          <w:szCs w:val="22"/>
        </w:rPr>
        <w:t xml:space="preserve">None of these are complicated research questions. They are the kind of thing any analyst would want to answer in the first 10 minutes of looking at a dataset. Right now, the system partially handles them — the SQL is usually correct, but the output is short and the chart either does not appear or is the wrong type. Next week fixes that gap.</w:t>
      </w:r>
    </w:p>
    <w:p>
      <w:pPr>
        <w:spacing w:after="0" w:before="120"/>
      </w:pPr>
    </w:p>
    <w:p>
      <w:pPr>
        <w:pStyle w:val="Heading2"/>
        <w:spacing w:after="120" w:before="240"/>
      </w:pPr>
      <w:r>
        <w:t xml:space="preserve">Backlog — Parked Items</w:t>
      </w:r>
    </w:p>
    <w:p>
      <w:pPr>
        <w:spacing w:after="100" w:before="80"/>
        <w:jc w:val="left"/>
      </w:pPr>
      <w:r>
        <w:rPr>
          <w:color w:val="2D3748"/>
          <w:sz w:val="22"/>
          <w:szCs w:val="22"/>
        </w:rPr>
        <w:t xml:space="preserve">The following are known gaps that are not blocking the current phase of 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Item</w:t>
            </w:r>
          </w:p>
        </w:tc>
        <w:tc>
          <w:tcPr>
            <w:tcW w:type="dxa" w:w="37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Why It Is Parked</w:t>
            </w:r>
          </w:p>
        </w:tc>
        <w:tc>
          <w:tcPr>
            <w:tcW w:type="dxa" w:w="16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Connect qualitative transcripts (234 files)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Requires embedding pipeline and semantic search — a separate track of work. Not blocking chart or output work.</w:t>
            </w:r>
          </w:p>
        </w:tc>
        <w:tc>
          <w:tcPr>
            <w:tcW w:type="dxa" w:w="1600"/>
            <w:tcBorders>
              <w:top w:val="single" w:color="CCCCCC" w:sz="1"/>
              <w:left w:val="single" w:color="CCCCCC" w:sz="1"/>
              <w:bottom w:val="single" w:color="CCCCCC" w:sz="1"/>
              <w:right w:val="single" w:color="CCCCCC" w:sz="1"/>
            </w:tcBorders>
            <w:shd w:fill="FEF3CD" w:val="clear"/>
            <w:tcMar>
              <w:top w:type="dxa" w:w="90"/>
              <w:left w:type="dxa" w:w="130"/>
              <w:bottom w:type="dxa" w:w="90"/>
              <w:right w:type="dxa" w:w="130"/>
            </w:tcMar>
            <w:vAlign w:val="center"/>
          </w:tcPr>
          <w:p>
            <w:pPr>
              <w:spacing w:after="0" w:before="0"/>
              <w:jc w:val="center"/>
            </w:pPr>
            <w:r>
              <w:rPr>
                <w:b/>
                <w:bCs/>
                <w:color w:val="9A6700"/>
                <w:sz w:val="20"/>
                <w:szCs w:val="20"/>
              </w:rPr>
              <w:t xml:space="preserve">Deferred</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Project selector / Wave 2 setup</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Config-only change. Parked until Wave 2 data is available.</w:t>
            </w:r>
          </w:p>
        </w:tc>
        <w:tc>
          <w:tcPr>
            <w:tcW w:type="dxa" w:w="1600"/>
            <w:tcBorders>
              <w:top w:val="single" w:color="CCCCCC" w:sz="1"/>
              <w:left w:val="single" w:color="CCCCCC" w:sz="1"/>
              <w:bottom w:val="single" w:color="CCCCCC" w:sz="1"/>
              <w:right w:val="single" w:color="CCCCCC" w:sz="1"/>
            </w:tcBorders>
            <w:shd w:fill="FEF3CD" w:val="clear"/>
            <w:tcMar>
              <w:top w:type="dxa" w:w="90"/>
              <w:left w:type="dxa" w:w="130"/>
              <w:bottom w:type="dxa" w:w="90"/>
              <w:right w:type="dxa" w:w="130"/>
            </w:tcMar>
            <w:vAlign w:val="center"/>
          </w:tcPr>
          <w:p>
            <w:pPr>
              <w:spacing w:after="0" w:before="0"/>
              <w:jc w:val="center"/>
            </w:pPr>
            <w:r>
              <w:rPr>
                <w:b/>
                <w:bCs/>
                <w:color w:val="9A6700"/>
                <w:sz w:val="20"/>
                <w:szCs w:val="20"/>
              </w:rPr>
              <w:t xml:space="preserve">Deferred</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Category / quota variable (mq6)</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Not in source export. Needs to be sourced separately.</w:t>
            </w:r>
          </w:p>
        </w:tc>
        <w:tc>
          <w:tcPr>
            <w:tcW w:type="dxa" w:w="1600"/>
            <w:tcBorders>
              <w:top w:val="single" w:color="CCCCCC" w:sz="1"/>
              <w:left w:val="single" w:color="CCCCCC" w:sz="1"/>
              <w:bottom w:val="single" w:color="CCCCCC" w:sz="1"/>
              <w:right w:val="single" w:color="CCCCCC" w:sz="1"/>
            </w:tcBorders>
            <w:shd w:fill="FEF3CD" w:val="clear"/>
            <w:tcMar>
              <w:top w:type="dxa" w:w="90"/>
              <w:left w:type="dxa" w:w="130"/>
              <w:bottom w:type="dxa" w:w="90"/>
              <w:right w:type="dxa" w:w="130"/>
            </w:tcMar>
            <w:vAlign w:val="center"/>
          </w:tcPr>
          <w:p>
            <w:pPr>
              <w:spacing w:after="0" w:before="0"/>
              <w:jc w:val="center"/>
            </w:pPr>
            <w:r>
              <w:rPr>
                <w:b/>
                <w:bCs/>
                <w:color w:val="9A6700"/>
                <w:sz w:val="20"/>
                <w:szCs w:val="20"/>
              </w:rPr>
              <w:t xml:space="preserve">Deferred</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Socioeconomic class (NCCS/SEC)</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color w:val="2D3748"/>
                <w:sz w:val="20"/>
                <w:szCs w:val="20"/>
              </w:rPr>
              <w:t xml:space="preserve">Derivable from survey columns not in current export.</w:t>
            </w:r>
          </w:p>
        </w:tc>
        <w:tc>
          <w:tcPr>
            <w:tcW w:type="dxa" w:w="1600"/>
            <w:tcBorders>
              <w:top w:val="single" w:color="CCCCCC" w:sz="1"/>
              <w:left w:val="single" w:color="CCCCCC" w:sz="1"/>
              <w:bottom w:val="single" w:color="CCCCCC" w:sz="1"/>
              <w:right w:val="single" w:color="CCCCCC" w:sz="1"/>
            </w:tcBorders>
            <w:shd w:fill="FEF3CD" w:val="clear"/>
            <w:tcMar>
              <w:top w:type="dxa" w:w="90"/>
              <w:left w:type="dxa" w:w="130"/>
              <w:bottom w:type="dxa" w:w="90"/>
              <w:right w:type="dxa" w:w="130"/>
            </w:tcMar>
            <w:vAlign w:val="center"/>
          </w:tcPr>
          <w:p>
            <w:pPr>
              <w:spacing w:after="0" w:before="0"/>
              <w:jc w:val="center"/>
            </w:pPr>
            <w:r>
              <w:rPr>
                <w:b/>
                <w:bCs/>
                <w:color w:val="9A6700"/>
                <w:sz w:val="20"/>
                <w:szCs w:val="20"/>
              </w:rPr>
              <w:t xml:space="preserve">Deferred</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Room-level appliance granularity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color w:val="2D3748"/>
                <w:sz w:val="20"/>
                <w:szCs w:val="20"/>
              </w:rPr>
              <w:t xml:space="preserve">Not preserved in the data export — room breakdown lost at source.</w:t>
            </w:r>
          </w:p>
        </w:tc>
        <w:tc>
          <w:tcPr>
            <w:tcW w:type="dxa" w:w="1600"/>
            <w:tcBorders>
              <w:top w:val="single" w:color="CCCCCC" w:sz="1"/>
              <w:left w:val="single" w:color="CCCCCC" w:sz="1"/>
              <w:bottom w:val="single" w:color="CCCCCC" w:sz="1"/>
              <w:right w:val="single" w:color="CCCCCC" w:sz="1"/>
            </w:tcBorders>
            <w:shd w:fill="F4F8FB" w:val="clear"/>
            <w:tcMar>
              <w:top w:type="dxa" w:w="90"/>
              <w:left w:type="dxa" w:w="130"/>
              <w:bottom w:type="dxa" w:w="90"/>
              <w:right w:type="dxa" w:w="130"/>
            </w:tcMar>
            <w:vAlign w:val="center"/>
          </w:tcPr>
          <w:p>
            <w:pPr>
              <w:spacing w:after="0" w:before="0"/>
              <w:jc w:val="center"/>
            </w:pPr>
            <w:r>
              <w:rPr>
                <w:b/>
                <w:bCs/>
                <w:color w:val="4A5568"/>
                <w:sz w:val="20"/>
                <w:szCs w:val="20"/>
              </w:rPr>
              <w:t xml:space="preserve">Won't Fix</w:t>
            </w:r>
          </w:p>
        </w:tc>
      </w:tr>
    </w:tbl>
    <w:p>
      <w:pPr>
        <w:spacing w:after="0" w:before="200"/>
      </w:pPr>
    </w:p>
    <w:p>
      <w:pPr>
        <w:spacing w:after="0" w:before="0"/>
      </w:pPr>
      <w:r>
        <w:br w:type="page"/>
      </w:r>
    </w:p>
    <w:p>
      <w:pPr>
        <w:pStyle w:val="Heading1"/>
        <w:pBdr>
          <w:bottom w:val="single" w:color="1B3A6B" w:sz="6" w:space="4"/>
        </w:pBdr>
        <w:spacing w:after="160" w:before="320"/>
      </w:pPr>
      <w:r>
        <w:t xml:space="preserve">8.  Architecture Overview (Reference)</w:t>
      </w:r>
    </w:p>
    <w:p>
      <w:pPr>
        <w:spacing w:after="100" w:before="80"/>
        <w:jc w:val="left"/>
      </w:pPr>
      <w:r>
        <w:rPr>
          <w:color w:val="2D3748"/>
          <w:sz w:val="22"/>
          <w:szCs w:val="22"/>
        </w:rPr>
        <w:t xml:space="preserve">This section provides a simple technical reference for how the system is structured. It is included for completeness — the earlier sections cover everything needed for a business overview.</w:t>
      </w:r>
    </w:p>
    <w:p>
      <w:pPr>
        <w:spacing w:after="0" w:before="80"/>
      </w:pPr>
    </w:p>
    <w:p>
      <w:pPr>
        <w:pStyle w:val="Heading2"/>
        <w:spacing w:after="120" w:before="240"/>
      </w:pPr>
      <w: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File / Folder</w:t>
            </w:r>
          </w:p>
        </w:tc>
        <w:tc>
          <w:tcPr>
            <w:tcW w:type="dxa" w:w="61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etl/load_data.py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Reads the Excel survey file and builds the SQLite database. Config-driven — works for any future survey with one file change.</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data/project_1/oxdata.db</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The SQLite database containing all 6 fact tables, 6 dimension tables, and 6 pre-joined views.</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config/project_1.py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The one file that changes per project: view names, column names, keyword lists, skill routing order.</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skills/base_rules.py</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Universal SQL rules sent in every query (never modify raw tables, always include count and %, etc.).</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skills/capabilities/*.py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Domain logic for each skill — NPS formula, awareness funnel structure, ownership patterns. Shared across all future projects.</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skills/foundry.py</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Assembles the system prompts at startup and handles the keyword routing logic. No API calls made here.</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views/chat.py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The chat page — handles the conversation, calls the foundry, calls the API, renders results.</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views/schema.py</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The Schema Explorer page — live row counts, interactive ER diagram, view documentation.</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app.py</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Entry point — sets up the two-page navigation (Chat + Schema Explorer).</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ourier New" w:cs="Courier New" w:eastAsia="Courier New" w:hAnsi="Courier New"/>
                <w:color w:val="1B3A6B"/>
                <w:sz w:val="19"/>
                <w:szCs w:val="19"/>
              </w:rPr>
              <w:t xml:space="preserve">docs/*.md</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rFonts w:ascii="Calibri" w:cs="Calibri" w:eastAsia="Calibri" w:hAnsi="Calibri"/>
                <w:color w:val="2D3748"/>
                <w:sz w:val="19"/>
                <w:szCs w:val="19"/>
              </w:rPr>
              <w:t xml:space="preserve">Human-readable documentation — SCHEMA.md, LOGIC.md, SKILLS.md, CONTEXT.md, PROGRESS.md, BUGLOG.md.</w:t>
            </w:r>
          </w:p>
        </w:tc>
      </w:tr>
    </w:tbl>
    <w:p>
      <w:pPr>
        <w:spacing w:after="0" w:before="120"/>
      </w:pPr>
    </w:p>
    <w:p>
      <w:pPr>
        <w:pStyle w:val="Heading2"/>
        <w:spacing w:after="120" w:before="240"/>
      </w:pPr>
      <w:r>
        <w:t xml:space="preserve">Design Decisions</w:t>
      </w:r>
    </w:p>
    <w:p>
      <w:pPr>
        <w:spacing w:after="100" w:before="80"/>
        <w:jc w:val="left"/>
      </w:pPr>
      <w:r>
        <w:rPr>
          <w:color w:val="2D3748"/>
          <w:sz w:val="22"/>
          <w:szCs w:val="22"/>
        </w:rPr>
        <w:t xml:space="preserve">Every significant design choice was documented as it was made. The key ones are summarised below.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Decision</w:t>
            </w:r>
          </w:p>
        </w:tc>
        <w:tc>
          <w:tcPr>
            <w:tcW w:type="dxa" w:w="58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Reason</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19"/>
                <w:szCs w:val="19"/>
              </w:rPr>
              <w:t xml:space="preserve">SQLite over a hosted database</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19"/>
                <w:szCs w:val="19"/>
              </w:rPr>
              <w:t xml:space="preserve">Zero setup, file-per-project, portable. All queries are read-only aggregations — SQLite handles this well. Can move to Postgres later with a one-line connection string change.</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19"/>
                <w:szCs w:val="19"/>
              </w:rPr>
              <w:t xml:space="preserve">Pre-joined database views for the LLM</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19"/>
                <w:szCs w:val="19"/>
              </w:rPr>
              <w:t xml:space="preserve">Without views, the LLM must remember all join keys and write multi-table SQL — which increases error rates. With views, it writes 'WHERE brand_name = Crompton' — much simpler.</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19"/>
                <w:szCs w:val="19"/>
              </w:rPr>
              <w:t xml:space="preserve">Always show the SQL in the UI</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19"/>
                <w:szCs w:val="19"/>
              </w:rPr>
              <w:t xml:space="preserve">OxData is a verification system first. Users should always be able to see exactly how a number was computed. This is what builds trust in AI-generated analytics.</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19"/>
                <w:szCs w:val="19"/>
              </w:rPr>
              <w:t xml:space="preserve">Keyword routing, not AI routing</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19"/>
                <w:szCs w:val="19"/>
              </w:rPr>
              <w:t xml:space="preserve">Routing a question to the right skill via keyword matching uses zero API tokens and zero latency. Routing via an AI call would add 200–400ms and ~300 tokens to every single query.</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19"/>
                <w:szCs w:val="19"/>
              </w:rPr>
              <w:t xml:space="preserve">temperature = 0.0 for SQL generation</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19"/>
                <w:szCs w:val="19"/>
              </w:rPr>
              <w:t xml:space="preserve">SQL must be deterministic. Setting temperature to zero means the same question always produces the same query — no random variation.</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19"/>
                <w:szCs w:val="19"/>
              </w:rPr>
              <w:t xml:space="preserve">3-layer skill architecture</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19"/>
                <w:szCs w:val="19"/>
              </w:rPr>
              <w:t xml:space="preserve">Universal rules (never change), domain logic (rarely change), project config (only thing that changes). Onboarding a second survey takes one file edit, not a codebase rewrite.</w:t>
            </w:r>
          </w:p>
        </w:tc>
      </w:tr>
    </w:tbl>
    <w:p>
      <w:pPr>
        <w:spacing w:after="0" w:before="120"/>
      </w:pPr>
    </w:p>
    <w:p>
      <w:pPr>
        <w:pStyle w:val="Heading2"/>
        <w:spacing w:after="120" w:before="240"/>
      </w:pPr>
      <w:r>
        <w:t xml:space="preserve">Token Budget — Version History</w:t>
      </w:r>
    </w:p>
    <w:p>
      <w:pPr>
        <w:spacing w:after="100" w:before="80"/>
        <w:jc w:val="left"/>
      </w:pPr>
      <w:r>
        <w:rPr>
          <w:color w:val="2D3748"/>
          <w:sz w:val="22"/>
          <w:szCs w:val="22"/>
        </w:rPr>
        <w:t xml:space="preserve">This table shows how the cost per query changed as optimisation work was applied. Tokens are the unit the AI model charges by — fewer tokens means lower cost and faster responses.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Version</w:t>
            </w:r>
          </w:p>
        </w:tc>
        <w:tc>
          <w:tcPr>
            <w:tcW w:type="dxa" w:w="24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Tokens / Query</w:t>
            </w:r>
          </w:p>
        </w:tc>
        <w:tc>
          <w:tcPr>
            <w:tcW w:type="dxa" w:w="280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Why</w:t>
            </w:r>
          </w:p>
        </w:tc>
        <w:tc>
          <w:tcPr>
            <w:tcW w:type="dxa" w:w="1960"/>
            <w:gridSpan w:val="1"/>
            <w:tcBorders>
              <w:top w:val="single" w:color="CCCCCC" w:sz="1"/>
              <w:left w:val="single" w:color="CCCCCC" w:sz="1"/>
              <w:bottom w:val="single" w:color="CCCCCC" w:sz="1"/>
              <w:right w:val="single" w:color="CCCCCC" w:sz="1"/>
            </w:tcBorders>
            <w:shd w:fill="1B3A6B" w:val="clear"/>
            <w:tcMar>
              <w:top w:type="dxa" w:w="90"/>
              <w:left w:type="dxa" w:w="130"/>
              <w:bottom w:type="dxa" w:w="90"/>
              <w:right w:type="dxa" w:w="130"/>
            </w:tcMar>
            <w:vAlign w:val="center"/>
          </w:tcPr>
          <w:p>
            <w:pPr>
              <w:spacing w:after="0" w:before="0"/>
              <w:jc w:val="left"/>
            </w:pPr>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bCs/>
                <w:color w:val="2D3748"/>
                <w:sz w:val="20"/>
                <w:szCs w:val="20"/>
              </w:rPr>
              <w:t xml:space="preserve">v1 — Gemini + full docs</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~6,500</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SCHEMA.md + LOGIC.md injected as raw text on every call</w:t>
            </w:r>
          </w:p>
        </w:tc>
        <w:tc>
          <w:tcPr>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pPr>
            <w:r>
              <w:rPr>
                <w:b w:val="false"/>
                <w:bCs w:val="false"/>
                <w:color w:val="2D3748"/>
                <w:sz w:val="20"/>
                <w:szCs w:val="20"/>
              </w:rPr>
              <w:t xml:space="preserve">Replaced</w:t>
            </w:r>
          </w:p>
        </w:tc>
      </w:tr>
      <w:tr>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bCs/>
                <w:color w:val="2D3748"/>
                <w:sz w:val="20"/>
                <w:szCs w:val="20"/>
              </w:rPr>
              <w:t xml:space="preserve">v2 — Groq + compact prompt</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~1,200</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Condensed inline schema — all views summarised in one block</w:t>
            </w:r>
          </w:p>
        </w:tc>
        <w:tc>
          <w:tcPr>
            <w:tcBorders>
              <w:top w:val="single" w:color="CCCCCC" w:sz="1"/>
              <w:left w:val="single" w:color="CCCCCC" w:sz="1"/>
              <w:bottom w:val="single" w:color="CCCCCC" w:sz="1"/>
              <w:right w:val="single" w:color="CCCCCC" w:sz="1"/>
            </w:tcBorders>
            <w:shd w:fill="F4F8FB" w:val="clear"/>
            <w:tcMar>
              <w:top w:type="dxa" w:w="80"/>
              <w:left w:type="dxa" w:w="130"/>
              <w:bottom w:type="dxa" w:w="80"/>
              <w:right w:type="dxa" w:w="130"/>
            </w:tcMar>
          </w:tcPr>
          <w:p>
            <w:pPr>
              <w:spacing w:after="0" w:before="0"/>
            </w:pPr>
            <w:r>
              <w:rPr>
                <w:b w:val="false"/>
                <w:bCs w:val="false"/>
                <w:color w:val="2D3748"/>
                <w:sz w:val="20"/>
                <w:szCs w:val="20"/>
              </w:rPr>
              <w:t xml:space="preserve">Replaced</w:t>
            </w:r>
          </w:p>
        </w:tc>
      </w:tr>
      <w:tr>
        <w:tc>
          <w:tcPr>
            <w:tcBorders>
              <w:top w:val="single" w:color="CCCCCC" w:sz="1"/>
              <w:left w:val="single" w:color="CCCCCC" w:sz="1"/>
              <w:bottom w:val="single" w:color="CCCCCC" w:sz="1"/>
              <w:right w:val="single" w:color="CCCCCC" w:sz="1"/>
            </w:tcBorders>
            <w:shd w:fill="EBF7F2" w:val="clear"/>
            <w:tcMar>
              <w:top w:type="dxa" w:w="80"/>
              <w:left w:type="dxa" w:w="130"/>
              <w:bottom w:type="dxa" w:w="80"/>
              <w:right w:type="dxa" w:w="130"/>
            </w:tcMar>
          </w:tcPr>
          <w:p>
            <w:pPr>
              <w:spacing w:after="0" w:before="0"/>
            </w:pPr>
            <w:r>
              <w:rPr>
                <w:b/>
                <w:bCs/>
                <w:color w:val="2D3748"/>
                <w:sz w:val="20"/>
                <w:szCs w:val="20"/>
              </w:rPr>
              <w:t xml:space="preserve">v3 — Skill Foundry (current)</w:t>
            </w:r>
          </w:p>
        </w:tc>
        <w:tc>
          <w:tcPr>
            <w:tcBorders>
              <w:top w:val="single" w:color="CCCCCC" w:sz="1"/>
              <w:left w:val="single" w:color="CCCCCC" w:sz="1"/>
              <w:bottom w:val="single" w:color="CCCCCC" w:sz="1"/>
              <w:right w:val="single" w:color="CCCCCC" w:sz="1"/>
            </w:tcBorders>
            <w:shd w:fill="EBF7F2" w:val="clear"/>
            <w:tcMar>
              <w:top w:type="dxa" w:w="80"/>
              <w:left w:type="dxa" w:w="130"/>
              <w:bottom w:type="dxa" w:w="80"/>
              <w:right w:type="dxa" w:w="130"/>
            </w:tcMar>
          </w:tcPr>
          <w:p>
            <w:pPr>
              <w:spacing w:after="0" w:before="0"/>
            </w:pPr>
            <w:r>
              <w:rPr>
                <w:b w:val="false"/>
                <w:bCs w:val="false"/>
                <w:color w:val="2D3748"/>
                <w:sz w:val="20"/>
                <w:szCs w:val="20"/>
              </w:rPr>
              <w:t xml:space="preserve">~400–900</w:t>
            </w:r>
          </w:p>
        </w:tc>
        <w:tc>
          <w:tcPr>
            <w:tcBorders>
              <w:top w:val="single" w:color="CCCCCC" w:sz="1"/>
              <w:left w:val="single" w:color="CCCCCC" w:sz="1"/>
              <w:bottom w:val="single" w:color="CCCCCC" w:sz="1"/>
              <w:right w:val="single" w:color="CCCCCC" w:sz="1"/>
            </w:tcBorders>
            <w:shd w:fill="EBF7F2" w:val="clear"/>
            <w:tcMar>
              <w:top w:type="dxa" w:w="80"/>
              <w:left w:type="dxa" w:w="130"/>
              <w:bottom w:type="dxa" w:w="80"/>
              <w:right w:type="dxa" w:w="130"/>
            </w:tcMar>
          </w:tcPr>
          <w:p>
            <w:pPr>
              <w:spacing w:after="0" w:before="0"/>
            </w:pPr>
            <w:r>
              <w:rPr>
                <w:b w:val="false"/>
                <w:bCs w:val="false"/>
                <w:color w:val="2D3748"/>
                <w:sz w:val="20"/>
                <w:szCs w:val="20"/>
              </w:rPr>
              <w:t xml:space="preserve">Only the relevant skill's view sent per query</w:t>
            </w:r>
          </w:p>
        </w:tc>
        <w:tc>
          <w:tcPr>
            <w:tcBorders>
              <w:top w:val="single" w:color="CCCCCC" w:sz="1"/>
              <w:left w:val="single" w:color="CCCCCC" w:sz="1"/>
              <w:bottom w:val="single" w:color="CCCCCC" w:sz="1"/>
              <w:right w:val="single" w:color="CCCCCC" w:sz="1"/>
            </w:tcBorders>
            <w:shd w:fill="EBF7F2" w:val="clear"/>
            <w:tcMar>
              <w:top w:type="dxa" w:w="80"/>
              <w:left w:type="dxa" w:w="130"/>
              <w:bottom w:type="dxa" w:w="80"/>
              <w:right w:type="dxa" w:w="130"/>
            </w:tcMar>
          </w:tcPr>
          <w:p>
            <w:pPr>
              <w:spacing w:after="0" w:before="0"/>
            </w:pPr>
            <w:r>
              <w:rPr>
                <w:b w:val="false"/>
                <w:bCs w:val="false"/>
                <w:color w:val="2D3748"/>
                <w:sz w:val="20"/>
                <w:szCs w:val="20"/>
              </w:rPr>
              <w:t xml:space="preserve">Active</w:t>
            </w:r>
          </w:p>
        </w:tc>
      </w:tr>
    </w:tbl>
    <w:p>
      <w:pPr>
        <w:spacing w:after="0" w:before="160"/>
      </w:pPr>
    </w:p>
    <w:p>
      <w:pPr>
        <w:pBdr>
          <w:bottom w:val="single" w:color="CCCCCC" w:sz="2" w:space="1"/>
        </w:pBdr>
        <w:spacing w:after="160" w:before="160"/>
      </w:pPr>
    </w:p>
    <w:p>
      <w:pPr>
        <w:spacing w:after="0" w:before="80"/>
      </w:pPr>
    </w:p>
    <w:p>
      <w:pPr>
        <w:spacing w:after="40" w:before="40"/>
        <w:jc w:val="center"/>
      </w:pPr>
      <w:r>
        <w:rPr>
          <w:i/>
          <w:iCs/>
          <w:color w:val="4A5568"/>
          <w:sz w:val="18"/>
          <w:szCs w:val="18"/>
        </w:rPr>
        <w:t xml:space="preserve">End of Report  |  OxData Project Progress  |  April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after="0" w:before="80"/>
    </w:pPr>
    <w:r>
      <w:rPr>
        <w:color w:val="4A5568"/>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tabs>
        <w:tab w:val="right" w:pos="9026"/>
      </w:tabs>
      <w:spacing w:after="80" w:before="0"/>
    </w:pPr>
    <w:r>
      <w:rPr>
        <w:color w:val="4A5568"/>
        <w:sz w:val="18"/>
        <w:szCs w:val="18"/>
      </w:rPr>
      <w:t xml:space="preserve">OxData — AI Consumer Intelligence Platform  |  Project Progress Report</w:t>
    </w:r>
    <w:r>
      <w:rPr>
        <w:sz w:val="18"/>
        <w:szCs w:val="18"/>
      </w:rPr>
      <w:t xml:space="preserve">	</w:t>
    </w:r>
    <w:r>
      <w:rPr>
        <w:color w:val="4A5568"/>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D6A72"/>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2026-04-13T05:44:31.762Z</dcterms:created>
  <dcterms:modified xsi:type="dcterms:W3CDTF">2026-04-13T05:44:31.763Z</dcterms:modified>
</cp:coreProperties>
</file>

<file path=docProps/custom.xml><?xml version="1.0" encoding="utf-8"?>
<Properties xmlns="http://schemas.openxmlformats.org/officeDocument/2006/custom-properties" xmlns:vt="http://schemas.openxmlformats.org/officeDocument/2006/docPropsVTypes"/>
</file>